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关于报送全省规上工业企业研发活动需求及科研院所研发资源情况的通知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各省辖市科技局、济源示范区管委会</w:t>
      </w:r>
      <w:r>
        <w:rPr>
          <w:rFonts w:hint="eastAsia" w:ascii="仿宋" w:hAnsi="仿宋" w:eastAsia="仿宋" w:cs="仿宋"/>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按照省财经委第四次会议和“万人助万企”启动会精神，为落实省委主要领导关于充分利用我省高校和科研院所的研发资源，进行匹配，贯通产学研要求，抓好</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省市县三级联动，一企一案一企一策，帮助企业尽快达到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有</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要求，确保年底规上工业企业研发活动能够达到50%以上</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工作目标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现对我省规上工业企业研发活动需求和全省各级科研院所（包括新型研发机构、实验室、重大创新平台、中试基地）研发资源开展调查。</w:t>
      </w:r>
      <w:r>
        <w:rPr>
          <w:rFonts w:hint="eastAsia" w:ascii="仿宋" w:hAnsi="仿宋" w:eastAsia="仿宋" w:cs="仿宋"/>
          <w:color w:val="000000" w:themeColor="text1"/>
          <w:sz w:val="32"/>
          <w:szCs w:val="32"/>
          <w:lang w:eastAsia="zh-CN"/>
          <w14:textFill>
            <w14:solidFill>
              <w14:schemeClr w14:val="tx1"/>
            </w14:solidFill>
          </w14:textFill>
        </w:rPr>
        <w:t>为提高工作效率，我们制作了电子调查表，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请</w:t>
      </w:r>
      <w:r>
        <w:rPr>
          <w:rFonts w:hint="eastAsia" w:ascii="仿宋" w:hAnsi="仿宋" w:eastAsia="仿宋" w:cs="仿宋"/>
          <w:color w:val="000000" w:themeColor="text1"/>
          <w:sz w:val="32"/>
          <w:szCs w:val="32"/>
          <w14:textFill>
            <w14:solidFill>
              <w14:schemeClr w14:val="tx1"/>
            </w14:solidFill>
          </w14:textFill>
        </w:rPr>
        <w:t>各地务必高度重视，</w:t>
      </w:r>
      <w:r>
        <w:rPr>
          <w:rFonts w:hint="eastAsia" w:ascii="仿宋" w:hAnsi="仿宋" w:eastAsia="仿宋" w:cs="仿宋"/>
          <w:color w:val="000000" w:themeColor="text1"/>
          <w:sz w:val="32"/>
          <w:szCs w:val="32"/>
          <w:lang w:eastAsia="zh-CN"/>
          <w14:textFill>
            <w14:solidFill>
              <w14:schemeClr w14:val="tx1"/>
            </w14:solidFill>
          </w14:textFill>
        </w:rPr>
        <w:t>组织本地所有规上工业企业及科研院所</w:t>
      </w:r>
      <w:r>
        <w:rPr>
          <w:rFonts w:hint="eastAsia" w:ascii="仿宋" w:hAnsi="仿宋" w:eastAsia="仿宋" w:cs="仿宋"/>
          <w:color w:val="000000" w:themeColor="text1"/>
          <w:sz w:val="32"/>
          <w:szCs w:val="32"/>
          <w14:textFill>
            <w14:solidFill>
              <w14:schemeClr w14:val="tx1"/>
            </w14:solidFill>
          </w14:textFill>
        </w:rPr>
        <w:t>认真填写</w:t>
      </w:r>
      <w:r>
        <w:rPr>
          <w:rFonts w:hint="eastAsia" w:ascii="仿宋" w:hAnsi="仿宋" w:eastAsia="仿宋" w:cs="仿宋"/>
          <w:color w:val="000000" w:themeColor="text1"/>
          <w:sz w:val="32"/>
          <w:szCs w:val="32"/>
          <w:lang w:eastAsia="zh-CN"/>
          <w14:textFill>
            <w14:solidFill>
              <w14:schemeClr w14:val="tx1"/>
            </w14:solidFill>
          </w14:textFill>
        </w:rPr>
        <w:t>（电子调查表二维码见附件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并对企业、院所所填数据进行把关核对，</w:t>
      </w:r>
      <w:r>
        <w:rPr>
          <w:rFonts w:hint="default" w:ascii="仿宋" w:hAnsi="仿宋" w:eastAsia="仿宋" w:cs="仿宋"/>
          <w:color w:val="000000" w:themeColor="text1"/>
          <w:sz w:val="32"/>
          <w:szCs w:val="32"/>
          <w:lang w:eastAsia="zh-CN"/>
          <w14:textFill>
            <w14:solidFill>
              <w14:schemeClr w14:val="tx1"/>
            </w14:solidFill>
          </w14:textFill>
        </w:rPr>
        <w:t>同时，认真开展企业与科研机构产学研匹配工作，并</w:t>
      </w:r>
      <w:r>
        <w:rPr>
          <w:rFonts w:hint="eastAsia" w:ascii="仿宋" w:hAnsi="仿宋" w:eastAsia="仿宋" w:cs="仿宋"/>
          <w:color w:val="000000" w:themeColor="text1"/>
          <w:sz w:val="32"/>
          <w:szCs w:val="32"/>
          <w:lang w:eastAsia="zh-CN"/>
          <w14:textFill>
            <w14:solidFill>
              <w14:schemeClr w14:val="tx1"/>
            </w14:solidFill>
          </w14:textFill>
        </w:rPr>
        <w:t>根据电子调查表梳理出未开展研发活动规上工业企业，填写“未开展研发活动规上工业企业与科研机构资源匹配汇总表”（见附件</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），经主管领导审核把关后，</w:t>
      </w:r>
      <w:r>
        <w:rPr>
          <w:rFonts w:hint="eastAsia" w:ascii="仿宋" w:hAnsi="仿宋" w:eastAsia="仿宋" w:cs="仿宋"/>
          <w:color w:val="000000" w:themeColor="text1"/>
          <w:sz w:val="32"/>
          <w:szCs w:val="32"/>
          <w14:textFill>
            <w14:solidFill>
              <w14:schemeClr w14:val="tx1"/>
            </w14:solidFill>
          </w14:textFill>
        </w:rPr>
        <w:t>于</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eastAsia="zh-CN"/>
          <w14:textFill>
            <w14:solidFill>
              <w14:schemeClr w14:val="tx1"/>
            </w14:solidFill>
          </w14:textFill>
        </w:rPr>
        <w:t>下午下班</w:t>
      </w:r>
      <w:r>
        <w:rPr>
          <w:rFonts w:hint="eastAsia" w:ascii="仿宋" w:hAnsi="仿宋" w:eastAsia="仿宋" w:cs="仿宋"/>
          <w:color w:val="000000" w:themeColor="text1"/>
          <w:sz w:val="32"/>
          <w:szCs w:val="32"/>
          <w14:textFill>
            <w14:solidFill>
              <w14:schemeClr w14:val="tx1"/>
            </w14:solidFill>
          </w14:textFill>
        </w:rPr>
        <w:t>前</w:t>
      </w:r>
      <w:r>
        <w:rPr>
          <w:rFonts w:hint="eastAsia" w:ascii="仿宋" w:hAnsi="仿宋" w:eastAsia="仿宋" w:cs="仿宋"/>
          <w:color w:val="000000" w:themeColor="text1"/>
          <w:sz w:val="32"/>
          <w:szCs w:val="32"/>
          <w:lang w:eastAsia="zh-CN"/>
          <w14:textFill>
            <w14:solidFill>
              <w14:schemeClr w14:val="tx1"/>
            </w14:solidFill>
          </w14:textFill>
        </w:rPr>
        <w:t>报科技厅。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联系人：</w:t>
      </w:r>
      <w:r>
        <w:rPr>
          <w:rFonts w:hint="eastAsia" w:ascii="仿宋" w:hAnsi="仿宋" w:eastAsia="仿宋" w:cs="仿宋"/>
          <w:color w:val="000000" w:themeColor="text1"/>
          <w:sz w:val="32"/>
          <w:szCs w:val="32"/>
          <w:lang w:eastAsia="zh-CN"/>
          <w14:textFill>
            <w14:solidFill>
              <w14:schemeClr w14:val="tx1"/>
            </w14:solidFill>
          </w14:textFill>
        </w:rPr>
        <w:t>牛珂珂、李东永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电</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话：</w:t>
      </w:r>
      <w:r>
        <w:rPr>
          <w:rFonts w:hint="eastAsia" w:ascii="仿宋" w:hAnsi="仿宋" w:eastAsia="仿宋" w:cs="仿宋"/>
          <w:color w:val="000000" w:themeColor="text1"/>
          <w:sz w:val="32"/>
          <w:szCs w:val="32"/>
          <w:lang w:val="en-US" w:eastAsia="zh-CN"/>
          <w14:textFill>
            <w14:solidFill>
              <w14:schemeClr w14:val="tx1"/>
            </w14:solidFill>
          </w14:textFill>
        </w:rPr>
        <w:t>18835688669、</w:t>
      </w:r>
      <w:r>
        <w:rPr>
          <w:rFonts w:hint="eastAsia" w:ascii="仿宋" w:hAnsi="仿宋" w:eastAsia="仿宋" w:cs="仿宋"/>
          <w:color w:val="000000" w:themeColor="text1"/>
          <w:sz w:val="32"/>
          <w:szCs w:val="32"/>
          <w14:textFill>
            <w14:solidFill>
              <w14:schemeClr w14:val="tx1"/>
            </w14:solidFill>
          </w14:textFill>
        </w:rPr>
        <w:t>0371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86561697</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750" w:leftChars="1976" w:hanging="1600" w:hangingChars="5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5747" w:leftChars="2432" w:hanging="640" w:hangingChars="200"/>
        <w:textAlignment w:val="auto"/>
        <w:rPr>
          <w:rFonts w:hint="eastAsia" w:ascii="仿宋" w:hAnsi="仿宋" w:eastAsia="仿宋" w:cs="仿宋"/>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lang w:val="en-US" w:eastAsia="zh-CN"/>
          <w14:textFill>
            <w14:solidFill>
              <w14:schemeClr w14:val="tx1"/>
            </w14:solidFill>
          </w14:textFill>
        </w:rPr>
        <w:t>2022年2月9日</w:t>
      </w: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附件1</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0"/>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trPr>
        <w:tc>
          <w:tcPr>
            <w:tcW w:w="6760" w:type="dxa"/>
            <w:vMerge w:val="restart"/>
            <w:tcBorders>
              <w:top w:val="nil"/>
              <w:left w:val="nil"/>
              <w:bottom w:val="nil"/>
              <w:right w:val="nil"/>
            </w:tcBorders>
          </w:tcPr>
          <w:p>
            <w:pPr>
              <w:jc w:val="center"/>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vertAlign w:val="baseline"/>
                <w:lang w:val="en-US" w:eastAsia="zh-CN"/>
                <w14:textFill>
                  <w14:solidFill>
                    <w14:schemeClr w14:val="tx1"/>
                  </w14:solidFill>
                </w14:textFill>
              </w:rPr>
              <w:drawing>
                <wp:inline distT="0" distB="0" distL="114300" distR="114300">
                  <wp:extent cx="2160270" cy="2160270"/>
                  <wp:effectExtent l="0" t="0" r="11430" b="11430"/>
                  <wp:docPr id="2" name="图片 2" descr="科研院所"/>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科研院所"/>
                          <pic:cNvPicPr>
                            <a:picLocks noChangeAspect="true"/>
                          </pic:cNvPicPr>
                        </pic:nvPicPr>
                        <pic:blipFill>
                          <a:blip r:embed="rId4"/>
                          <a:stretch>
                            <a:fillRect/>
                          </a:stretch>
                        </pic:blipFill>
                        <pic:spPr>
                          <a:xfrm>
                            <a:off x="0" y="0"/>
                            <a:ext cx="2160270" cy="2160270"/>
                          </a:xfrm>
                          <a:prstGeom prst="rect">
                            <a:avLst/>
                          </a:prstGeom>
                        </pic:spPr>
                      </pic:pic>
                    </a:graphicData>
                  </a:graphic>
                </wp:inline>
              </w:drawing>
            </w:r>
          </w:p>
          <w:p>
            <w:pPr>
              <w:jc w:val="center"/>
              <w:rPr>
                <w:rFonts w:hint="default" w:ascii="仿宋" w:hAnsi="仿宋" w:eastAsia="仿宋" w:cs="仿宋"/>
                <w:color w:val="000000" w:themeColor="text1"/>
                <w:sz w:val="32"/>
                <w:szCs w:val="32"/>
                <w:vertAlign w:val="baseline"/>
                <w:lang w:val="en-US" w:eastAsia="zh-CN"/>
                <w14:textFill>
                  <w14:solidFill>
                    <w14:schemeClr w14:val="tx1"/>
                  </w14:solidFill>
                </w14:textFill>
              </w:rPr>
            </w:pPr>
          </w:p>
          <w:p>
            <w:pPr>
              <w:jc w:val="cente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科研院所请扫描上方二维码填写</w:t>
            </w:r>
          </w:p>
          <w:p>
            <w:pPr>
              <w:jc w:val="center"/>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（一台设备只能提交一次，请认真填写）</w:t>
            </w:r>
          </w:p>
        </w:tc>
        <w:tc>
          <w:tcPr>
            <w:tcW w:w="6760" w:type="dxa"/>
            <w:tcBorders>
              <w:top w:val="nil"/>
              <w:left w:val="nil"/>
              <w:bottom w:val="nil"/>
              <w:right w:val="nil"/>
            </w:tcBorders>
          </w:tcPr>
          <w:p>
            <w:pPr>
              <w:jc w:val="center"/>
              <w:rPr>
                <w:rFonts w:hint="default" w:ascii="仿宋" w:hAnsi="仿宋" w:eastAsia="仿宋" w:cs="仿宋"/>
                <w:color w:val="000000" w:themeColor="text1"/>
                <w:sz w:val="32"/>
                <w:szCs w:val="32"/>
                <w:vertAlign w:val="baseline"/>
                <w:lang w:val="en-US" w:eastAsia="zh-CN"/>
                <w14:textFill>
                  <w14:solidFill>
                    <w14:schemeClr w14:val="tx1"/>
                  </w14:solidFill>
                </w14:textFill>
              </w:rPr>
            </w:pPr>
            <w:r>
              <w:rPr>
                <w:rFonts w:hint="default" w:ascii="仿宋" w:hAnsi="仿宋" w:eastAsia="仿宋" w:cs="仿宋"/>
                <w:color w:val="000000" w:themeColor="text1"/>
                <w:sz w:val="32"/>
                <w:szCs w:val="32"/>
                <w:vertAlign w:val="baseline"/>
                <w:lang w:val="en-US" w:eastAsia="zh-CN"/>
                <w14:textFill>
                  <w14:solidFill>
                    <w14:schemeClr w14:val="tx1"/>
                  </w14:solidFill>
                </w14:textFill>
              </w:rPr>
              <w:drawing>
                <wp:inline distT="0" distB="0" distL="114300" distR="114300">
                  <wp:extent cx="2160270" cy="2160270"/>
                  <wp:effectExtent l="0" t="0" r="11430" b="11430"/>
                  <wp:docPr id="3" name="图片 3" descr="企业"/>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企业"/>
                          <pic:cNvPicPr>
                            <a:picLocks noChangeAspect="true"/>
                          </pic:cNvPicPr>
                        </pic:nvPicPr>
                        <pic:blipFill>
                          <a:blip r:embed="rId5"/>
                          <a:stretch>
                            <a:fillRect/>
                          </a:stretch>
                        </pic:blipFill>
                        <pic:spPr>
                          <a:xfrm>
                            <a:off x="0" y="0"/>
                            <a:ext cx="2160270" cy="2160270"/>
                          </a:xfrm>
                          <a:prstGeom prst="rect">
                            <a:avLst/>
                          </a:prstGeom>
                        </pic:spPr>
                      </pic:pic>
                    </a:graphicData>
                  </a:graphic>
                </wp:inline>
              </w:drawing>
            </w:r>
          </w:p>
          <w:p>
            <w:pPr>
              <w:jc w:val="center"/>
              <w:rPr>
                <w:rFonts w:hint="default" w:ascii="仿宋" w:hAnsi="仿宋" w:eastAsia="仿宋" w:cs="仿宋"/>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0" w:type="dxa"/>
            <w:vMerge w:val="continue"/>
            <w:tcBorders>
              <w:left w:val="nil"/>
              <w:bottom w:val="nil"/>
              <w:right w:val="nil"/>
            </w:tcBorders>
          </w:tcPr>
          <w:p>
            <w:pPr>
              <w:jc w:val="center"/>
              <w:rPr>
                <w:rFonts w:hint="default" w:ascii="仿宋" w:hAnsi="仿宋" w:eastAsia="仿宋" w:cs="仿宋"/>
                <w:color w:val="000000" w:themeColor="text1"/>
                <w:sz w:val="32"/>
                <w:szCs w:val="32"/>
                <w:vertAlign w:val="baseline"/>
                <w:lang w:val="en-US" w:eastAsia="zh-CN"/>
                <w14:textFill>
                  <w14:solidFill>
                    <w14:schemeClr w14:val="tx1"/>
                  </w14:solidFill>
                </w14:textFill>
              </w:rPr>
            </w:pPr>
          </w:p>
        </w:tc>
        <w:tc>
          <w:tcPr>
            <w:tcW w:w="6760" w:type="dxa"/>
            <w:tcBorders>
              <w:top w:val="nil"/>
              <w:left w:val="nil"/>
              <w:bottom w:val="nil"/>
              <w:right w:val="nil"/>
            </w:tcBorders>
          </w:tcPr>
          <w:p>
            <w:pPr>
              <w:jc w:val="cente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规上工业企业请扫描上方二维码填写</w:t>
            </w:r>
          </w:p>
          <w:p>
            <w:pPr>
              <w:jc w:val="center"/>
              <w:rPr>
                <w:rFonts w:hint="default" w:ascii="仿宋" w:hAnsi="仿宋" w:eastAsia="仿宋" w:cs="仿宋"/>
                <w:b/>
                <w:bCs/>
                <w:color w:val="000000" w:themeColor="text1"/>
                <w:sz w:val="32"/>
                <w:szCs w:val="32"/>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（一台设备只能提交一次，请认真填写）</w:t>
            </w:r>
          </w:p>
        </w:tc>
      </w:tr>
    </w:tbl>
    <w:p>
      <w:pPr>
        <w:ind w:firstLine="640" w:firstLineChars="200"/>
        <w:rPr>
          <w:rFonts w:hint="default" w:ascii="仿宋" w:hAnsi="仿宋" w:eastAsia="仿宋" w:cs="仿宋"/>
          <w:color w:val="000000" w:themeColor="text1"/>
          <w:sz w:val="32"/>
          <w:szCs w:val="32"/>
          <w:vertAlign w:val="baseline"/>
          <w:lang w:val="en-US" w:eastAsia="zh-CN"/>
          <w14:textFill>
            <w14:solidFill>
              <w14:schemeClr w14:val="tx1"/>
            </w14:solidFill>
          </w14:textFill>
        </w:rPr>
      </w:pP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附件2</w:t>
            </w:r>
          </w:p>
          <w:tbl>
            <w:tblPr>
              <w:tblStyle w:val="2"/>
              <w:tblpPr w:leftFromText="180" w:rightFromText="180" w:vertAnchor="text" w:horzAnchor="page" w:tblpX="169" w:tblpY="596"/>
              <w:tblOverlap w:val="never"/>
              <w:tblW w:w="137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5"/>
              <w:gridCol w:w="1596"/>
              <w:gridCol w:w="3539"/>
              <w:gridCol w:w="3576"/>
              <w:gridCol w:w="3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企业名称</w:t>
                  </w:r>
                </w:p>
              </w:tc>
              <w:tc>
                <w:tcPr>
                  <w:tcW w:w="3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w:t>
                  </w:r>
                </w:p>
              </w:tc>
              <w:tc>
                <w:tcPr>
                  <w:tcW w:w="35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当地</w:t>
                  </w:r>
                  <w:r>
                    <w:rPr>
                      <w:rFonts w:hint="default" w:ascii="仿宋" w:hAnsi="仿宋" w:eastAsia="仿宋" w:cs="仿宋"/>
                      <w:i w:val="0"/>
                      <w:color w:val="000000" w:themeColor="text1"/>
                      <w:kern w:val="0"/>
                      <w:sz w:val="32"/>
                      <w:szCs w:val="32"/>
                      <w:u w:val="none"/>
                      <w:lang w:eastAsia="zh-CN" w:bidi="ar"/>
                      <w14:textFill>
                        <w14:solidFill>
                          <w14:schemeClr w14:val="tx1"/>
                        </w14:solidFill>
                      </w14:textFill>
                    </w:rPr>
                    <w:t>可完成</w:t>
                  </w: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对接</w:t>
                  </w:r>
                  <w:r>
                    <w:rPr>
                      <w:rFonts w:hint="default" w:ascii="仿宋" w:hAnsi="仿宋" w:eastAsia="仿宋" w:cs="仿宋"/>
                      <w:i w:val="0"/>
                      <w:color w:val="000000" w:themeColor="text1"/>
                      <w:kern w:val="0"/>
                      <w:sz w:val="32"/>
                      <w:szCs w:val="32"/>
                      <w:u w:val="none"/>
                      <w:lang w:eastAsia="zh-CN" w:bidi="ar"/>
                      <w14:textFill>
                        <w14:solidFill>
                          <w14:schemeClr w14:val="tx1"/>
                        </w14:solidFill>
                      </w14:textFill>
                    </w:rPr>
                    <w:t>（是/否）</w:t>
                  </w:r>
                </w:p>
              </w:tc>
              <w:tc>
                <w:tcPr>
                  <w:tcW w:w="388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pPr>
                  <w:r>
                    <w:rPr>
                      <w:rFonts w:hint="default" w:ascii="仿宋" w:hAnsi="仿宋" w:eastAsia="仿宋" w:cs="仿宋"/>
                      <w:i w:val="0"/>
                      <w:color w:val="000000" w:themeColor="text1"/>
                      <w:kern w:val="0"/>
                      <w:sz w:val="32"/>
                      <w:szCs w:val="32"/>
                      <w:u w:val="none"/>
                      <w:lang w:eastAsia="zh-CN" w:bidi="ar"/>
                      <w14:textFill>
                        <w14:solidFill>
                          <w14:schemeClr w14:val="tx1"/>
                        </w14:solidFill>
                      </w14:textFill>
                    </w:rPr>
                    <w:t>拟对接的</w:t>
                  </w: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科研机构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5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88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5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88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5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c>
                <w:tcPr>
                  <w:tcW w:w="388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color w:val="000000" w:themeColor="text1"/>
                      <w:sz w:val="32"/>
                      <w:szCs w:val="3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0" w:hRule="atLeast"/>
              </w:trPr>
              <w:tc>
                <w:tcPr>
                  <w:tcW w:w="13731" w:type="dxa"/>
                  <w:gridSpan w:val="5"/>
                  <w:tcBorders>
                    <w:top w:val="nil"/>
                    <w:left w:val="nil"/>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themeColor="text1"/>
                      <w:sz w:val="32"/>
                      <w:szCs w:val="32"/>
                      <w:u w:val="none"/>
                      <w14:textFill>
                        <w14:solidFill>
                          <w14:schemeClr w14:val="tx1"/>
                        </w14:solidFill>
                      </w14:textFill>
                    </w:rPr>
                  </w:pPr>
                  <w:r>
                    <w:rPr>
                      <w:rFonts w:hint="eastAsia" w:ascii="仿宋" w:hAnsi="仿宋" w:eastAsia="仿宋" w:cs="仿宋"/>
                      <w:i w:val="0"/>
                      <w:color w:val="000000" w:themeColor="text1"/>
                      <w:kern w:val="0"/>
                      <w:sz w:val="32"/>
                      <w:szCs w:val="32"/>
                      <w:u w:val="none"/>
                      <w:lang w:val="en-US" w:eastAsia="zh-CN" w:bidi="ar"/>
                      <w14:textFill>
                        <w14:solidFill>
                          <w14:schemeClr w14:val="tx1"/>
                        </w14:solidFill>
                      </w14:textFill>
                    </w:rPr>
                    <w:t>备注：各省辖市科技局、济源示范区管委会在辖区内所有规上工业企业电子调查表填写完毕后，导出汇总表，并在汇总表后添加以上两栏信息，说明未开展研发活动规上工业企业与科研机构的需求匹配情况。</w:t>
                  </w:r>
                </w:p>
              </w:tc>
            </w:tr>
          </w:tbl>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黑体" w:hAnsi="黑体" w:eastAsia="黑体" w:cs="黑体"/>
                <w:i w:val="0"/>
                <w:color w:val="000000" w:themeColor="text1"/>
                <w:kern w:val="0"/>
                <w:sz w:val="44"/>
                <w:szCs w:val="44"/>
                <w:u w:val="none"/>
                <w:lang w:val="en-US" w:eastAsia="zh-CN" w:bidi="ar"/>
                <w14:textFill>
                  <w14:solidFill>
                    <w14:schemeClr w14:val="tx1"/>
                  </w14:solidFill>
                </w14:textFill>
              </w:rPr>
            </w:pPr>
            <w:r>
              <w:rPr>
                <w:rFonts w:hint="eastAsia" w:ascii="黑体" w:hAnsi="黑体" w:eastAsia="黑体" w:cs="黑体"/>
                <w:i w:val="0"/>
                <w:color w:val="000000" w:themeColor="text1"/>
                <w:kern w:val="0"/>
                <w:sz w:val="44"/>
                <w:szCs w:val="44"/>
                <w:u w:val="none"/>
                <w:lang w:val="en-US" w:eastAsia="zh-CN" w:bidi="ar"/>
                <w14:textFill>
                  <w14:solidFill>
                    <w14:schemeClr w14:val="tx1"/>
                  </w14:solidFill>
                </w14:textFill>
              </w:rPr>
              <w:t>未开展研发活动规上工业企业与科研机构资源匹配汇总表</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center"/>
              <w:rPr>
                <w:rFonts w:hint="eastAsia" w:ascii="黑体" w:hAnsi="黑体" w:eastAsia="黑体" w:cs="黑体"/>
                <w:i w:val="0"/>
                <w:color w:val="000000" w:themeColor="text1"/>
                <w:kern w:val="0"/>
                <w:sz w:val="44"/>
                <w:szCs w:val="44"/>
                <w:u w:val="none"/>
                <w:lang w:val="en-US" w:eastAsia="zh-CN" w:bidi="ar"/>
                <w14:textFill>
                  <w14:solidFill>
                    <w14:schemeClr w14:val="tx1"/>
                  </w14:solidFill>
                </w14:textFill>
              </w:rPr>
            </w:pPr>
          </w:p>
        </w:tc>
      </w:tr>
    </w:tbl>
    <w:p>
      <w:pPr>
        <w:rPr>
          <w:rFonts w:hint="eastAsia" w:ascii="仿宋" w:hAnsi="仿宋" w:eastAsia="仿宋" w:cs="仿宋"/>
          <w:color w:val="000000" w:themeColor="text1"/>
          <w:sz w:val="32"/>
          <w:szCs w:val="32"/>
          <w:lang w:val="en-US" w:eastAsia="zh-CN"/>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3DB2"/>
    <w:rsid w:val="19953703"/>
    <w:rsid w:val="1BD73C0E"/>
    <w:rsid w:val="1EFF78F2"/>
    <w:rsid w:val="1FBABD6A"/>
    <w:rsid w:val="204C3DB2"/>
    <w:rsid w:val="29707481"/>
    <w:rsid w:val="29BD319E"/>
    <w:rsid w:val="2BBE22DA"/>
    <w:rsid w:val="2D2302FA"/>
    <w:rsid w:val="2FCCBC84"/>
    <w:rsid w:val="36EF58BD"/>
    <w:rsid w:val="36FEA4F6"/>
    <w:rsid w:val="36FF6915"/>
    <w:rsid w:val="37DF8E03"/>
    <w:rsid w:val="37F72AA5"/>
    <w:rsid w:val="37FE6962"/>
    <w:rsid w:val="3AB25F8B"/>
    <w:rsid w:val="3BB64E1C"/>
    <w:rsid w:val="3E7FA8DE"/>
    <w:rsid w:val="3EDBA989"/>
    <w:rsid w:val="3F5E3741"/>
    <w:rsid w:val="3F9CD6C7"/>
    <w:rsid w:val="3FB7FC0C"/>
    <w:rsid w:val="3FBEECF5"/>
    <w:rsid w:val="3FBF29A3"/>
    <w:rsid w:val="3FBFA747"/>
    <w:rsid w:val="3FFBDE4A"/>
    <w:rsid w:val="41A70B62"/>
    <w:rsid w:val="48322691"/>
    <w:rsid w:val="4B31058F"/>
    <w:rsid w:val="4BA932E9"/>
    <w:rsid w:val="4D602499"/>
    <w:rsid w:val="4EF5F71F"/>
    <w:rsid w:val="4FAE0361"/>
    <w:rsid w:val="563B2F0F"/>
    <w:rsid w:val="57BE5CF5"/>
    <w:rsid w:val="58AF2A29"/>
    <w:rsid w:val="5BFF700A"/>
    <w:rsid w:val="5D660083"/>
    <w:rsid w:val="5E7BB5ED"/>
    <w:rsid w:val="5EEA543D"/>
    <w:rsid w:val="5F7D9F83"/>
    <w:rsid w:val="5F7F33A1"/>
    <w:rsid w:val="5FEDC3E2"/>
    <w:rsid w:val="5FF774EC"/>
    <w:rsid w:val="5FFD19E4"/>
    <w:rsid w:val="65E93868"/>
    <w:rsid w:val="693D1CB3"/>
    <w:rsid w:val="6B7F1C8E"/>
    <w:rsid w:val="6E0DEB01"/>
    <w:rsid w:val="6E3B36D1"/>
    <w:rsid w:val="6FF056C8"/>
    <w:rsid w:val="6FFEB7E8"/>
    <w:rsid w:val="6FFF20E8"/>
    <w:rsid w:val="7397DB80"/>
    <w:rsid w:val="73DE7443"/>
    <w:rsid w:val="769B04D6"/>
    <w:rsid w:val="76EA96D2"/>
    <w:rsid w:val="777FFDD4"/>
    <w:rsid w:val="77EBA9F2"/>
    <w:rsid w:val="79AC4500"/>
    <w:rsid w:val="79BF6BCB"/>
    <w:rsid w:val="7AFB2C54"/>
    <w:rsid w:val="7BEA31FC"/>
    <w:rsid w:val="7CDF1802"/>
    <w:rsid w:val="7CEF905A"/>
    <w:rsid w:val="7DBD0747"/>
    <w:rsid w:val="7DEFC498"/>
    <w:rsid w:val="7ED7E127"/>
    <w:rsid w:val="7EDB5445"/>
    <w:rsid w:val="7EFF3931"/>
    <w:rsid w:val="7F4B0730"/>
    <w:rsid w:val="7F757361"/>
    <w:rsid w:val="7F77B800"/>
    <w:rsid w:val="7F7C782A"/>
    <w:rsid w:val="7F9F10F2"/>
    <w:rsid w:val="7FB4B836"/>
    <w:rsid w:val="7FEF5B2E"/>
    <w:rsid w:val="7FFBAA8C"/>
    <w:rsid w:val="7FFF315C"/>
    <w:rsid w:val="7FFF4752"/>
    <w:rsid w:val="8B9FD2E3"/>
    <w:rsid w:val="8E17EF8F"/>
    <w:rsid w:val="94B6C100"/>
    <w:rsid w:val="9FD89161"/>
    <w:rsid w:val="9FFD48CC"/>
    <w:rsid w:val="AFF70E77"/>
    <w:rsid w:val="B26649EF"/>
    <w:rsid w:val="BDE754CF"/>
    <w:rsid w:val="BE7B8CC9"/>
    <w:rsid w:val="BFF6A19C"/>
    <w:rsid w:val="BFF926C0"/>
    <w:rsid w:val="BFFF4EF9"/>
    <w:rsid w:val="BFFFB870"/>
    <w:rsid w:val="BFFFD403"/>
    <w:rsid w:val="C8730956"/>
    <w:rsid w:val="CA6D6A52"/>
    <w:rsid w:val="DCDF3192"/>
    <w:rsid w:val="DD7B2620"/>
    <w:rsid w:val="DEEFB9B0"/>
    <w:rsid w:val="DF735299"/>
    <w:rsid w:val="DFDBB874"/>
    <w:rsid w:val="DFF7E146"/>
    <w:rsid w:val="DFFDFFC8"/>
    <w:rsid w:val="E67EEF19"/>
    <w:rsid w:val="EB0E78E0"/>
    <w:rsid w:val="EBAEDEF5"/>
    <w:rsid w:val="EDF1CA82"/>
    <w:rsid w:val="EE9F38AE"/>
    <w:rsid w:val="EEBB1492"/>
    <w:rsid w:val="EFDF05BB"/>
    <w:rsid w:val="F3FF41EB"/>
    <w:rsid w:val="F5BB2AC8"/>
    <w:rsid w:val="F5E7A8EE"/>
    <w:rsid w:val="F69FC2B3"/>
    <w:rsid w:val="F77F32F6"/>
    <w:rsid w:val="F7AD7606"/>
    <w:rsid w:val="F7BED05D"/>
    <w:rsid w:val="F7EF6D2F"/>
    <w:rsid w:val="F7F5FBB2"/>
    <w:rsid w:val="F8D7D871"/>
    <w:rsid w:val="FB9FFC06"/>
    <w:rsid w:val="FBBBAC70"/>
    <w:rsid w:val="FBEDCE1C"/>
    <w:rsid w:val="FDCF10DE"/>
    <w:rsid w:val="FDD70607"/>
    <w:rsid w:val="FDEDBE23"/>
    <w:rsid w:val="FE3D3E11"/>
    <w:rsid w:val="FEFF1734"/>
    <w:rsid w:val="FF6E87C6"/>
    <w:rsid w:val="FF771F1A"/>
    <w:rsid w:val="FFDDDB12"/>
    <w:rsid w:val="FFDF8211"/>
    <w:rsid w:val="FFED649F"/>
    <w:rsid w:val="FFF3E920"/>
    <w:rsid w:val="FFF7F5EE"/>
    <w:rsid w:val="FFFC4A56"/>
    <w:rsid w:val="FFFF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2022-02-11T09:55:00Z</dcterms:created>
  <dc:creator>Administrator</dc:creator>
  <cp:lastModifiedBy>administrator</cp:lastModifiedBy>
  <cp:lastPrinted>2022-02-11T00:32:00Z</cp:lastPrinted>
  <dcterms:modified xsi:type="dcterms:W3CDTF">2022-02-10T09:49:17Z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B0DA14381A7044E69C936365D3F73BD1</vt:lpwstr>
  </property>
</Properties>
</file>