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spacing w:beforeLines="50" w:afterLines="50" w:line="360" w:lineRule="auto"/>
        <w:ind w:firstLine="1980" w:firstLineChars="450"/>
        <w:rPr>
          <w:rFonts w:ascii="仿宋" w:hAnsi="仿宋" w:eastAsia="仿宋"/>
          <w:sz w:val="24"/>
          <w:szCs w:val="24"/>
        </w:rPr>
      </w:pPr>
      <w:r>
        <w:rPr>
          <w:rFonts w:ascii="方正小标宋简体" w:hAnsi="宋体" w:eastAsia="方正小标宋简体"/>
          <w:sz w:val="44"/>
          <w:szCs w:val="44"/>
        </w:rPr>
        <w:t>2017</w:t>
      </w:r>
      <w:r>
        <w:rPr>
          <w:rFonts w:hint="eastAsia" w:ascii="方正小标宋简体" w:hAnsi="宋体" w:eastAsia="方正小标宋简体"/>
          <w:sz w:val="44"/>
          <w:szCs w:val="44"/>
        </w:rPr>
        <w:t>年度新乡市科技攻关计划</w:t>
      </w:r>
      <w:r>
        <w:rPr>
          <w:rFonts w:ascii="方正小标宋简体" w:hAnsi="宋体" w:eastAsia="方正小标宋简体"/>
          <w:sz w:val="44"/>
          <w:szCs w:val="44"/>
        </w:rPr>
        <w:t>(</w:t>
      </w:r>
      <w:r>
        <w:rPr>
          <w:rFonts w:hint="eastAsia" w:ascii="方正小标宋简体" w:hAnsi="宋体" w:eastAsia="方正小标宋简体"/>
          <w:sz w:val="44"/>
          <w:szCs w:val="44"/>
        </w:rPr>
        <w:t>社发领域</w:t>
      </w:r>
      <w:r>
        <w:rPr>
          <w:rFonts w:ascii="方正小标宋简体" w:hAnsi="宋体" w:eastAsia="方正小标宋简体"/>
          <w:sz w:val="44"/>
          <w:szCs w:val="44"/>
        </w:rPr>
        <w:t>)</w:t>
      </w:r>
      <w:r>
        <w:rPr>
          <w:rFonts w:hint="eastAsia" w:ascii="方正小标宋简体" w:hAnsi="宋体" w:eastAsia="方正小标宋简体"/>
          <w:sz w:val="44"/>
          <w:szCs w:val="44"/>
        </w:rPr>
        <w:t>未验收名单</w:t>
      </w:r>
      <w:bookmarkStart w:id="0" w:name="_GoBack"/>
      <w:bookmarkEnd w:id="0"/>
      <w:r>
        <w:rPr>
          <w:rFonts w:ascii="方正小标宋简体" w:hAnsi="宋体" w:eastAsia="方正小标宋简体"/>
          <w:sz w:val="44"/>
          <w:szCs w:val="44"/>
        </w:rPr>
        <w:t xml:space="preserve">                                                                          </w:t>
      </w:r>
    </w:p>
    <w:tbl>
      <w:tblPr>
        <w:tblStyle w:val="4"/>
        <w:tblW w:w="13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95"/>
        <w:gridCol w:w="6374"/>
        <w:gridCol w:w="351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745" w:type="dxa"/>
            <w:vAlign w:val="center"/>
          </w:tcPr>
          <w:p>
            <w:pPr>
              <w:jc w:val="left"/>
              <w:rPr>
                <w:rFonts w:ascii="仿宋_GB2312" w:hAnsi="仿宋" w:eastAsia="仿宋_GB2312" w:cs="仿宋"/>
                <w:b/>
                <w:spacing w:val="-20"/>
                <w:sz w:val="24"/>
                <w:szCs w:val="24"/>
              </w:rPr>
            </w:pPr>
            <w:r>
              <w:rPr>
                <w:rFonts w:hint="eastAsia" w:ascii="仿宋_GB2312" w:hAnsi="仿宋" w:eastAsia="仿宋_GB2312" w:cs="仿宋"/>
                <w:b/>
                <w:spacing w:val="-20"/>
                <w:sz w:val="24"/>
                <w:szCs w:val="24"/>
              </w:rPr>
              <w:t>序号</w:t>
            </w:r>
          </w:p>
        </w:tc>
        <w:tc>
          <w:tcPr>
            <w:tcW w:w="1695" w:type="dxa"/>
            <w:vAlign w:val="center"/>
          </w:tcPr>
          <w:p>
            <w:pPr>
              <w:jc w:val="left"/>
              <w:rPr>
                <w:rFonts w:ascii="仿宋_GB2312" w:hAnsi="仿宋" w:eastAsia="仿宋_GB2312" w:cs="仿宋"/>
                <w:b/>
                <w:spacing w:val="-20"/>
                <w:sz w:val="24"/>
                <w:szCs w:val="24"/>
              </w:rPr>
            </w:pPr>
            <w:r>
              <w:rPr>
                <w:rFonts w:hint="eastAsia" w:ascii="仿宋_GB2312" w:hAnsi="仿宋" w:eastAsia="仿宋_GB2312" w:cs="仿宋"/>
                <w:b/>
                <w:spacing w:val="-20"/>
                <w:sz w:val="24"/>
                <w:szCs w:val="24"/>
              </w:rPr>
              <w:t>项目编号</w:t>
            </w:r>
          </w:p>
        </w:tc>
        <w:tc>
          <w:tcPr>
            <w:tcW w:w="6374" w:type="dxa"/>
            <w:vAlign w:val="center"/>
          </w:tcPr>
          <w:p>
            <w:pPr>
              <w:jc w:val="left"/>
              <w:rPr>
                <w:rFonts w:ascii="仿宋_GB2312" w:hAnsi="仿宋" w:eastAsia="仿宋_GB2312" w:cs="仿宋"/>
                <w:b/>
                <w:spacing w:val="-20"/>
                <w:sz w:val="24"/>
                <w:szCs w:val="24"/>
              </w:rPr>
            </w:pPr>
            <w:r>
              <w:rPr>
                <w:rFonts w:hint="eastAsia" w:ascii="仿宋_GB2312" w:hAnsi="仿宋" w:eastAsia="仿宋_GB2312" w:cs="仿宋"/>
                <w:b/>
                <w:spacing w:val="-20"/>
                <w:sz w:val="24"/>
                <w:szCs w:val="24"/>
              </w:rPr>
              <w:t>项目名称</w:t>
            </w:r>
          </w:p>
        </w:tc>
        <w:tc>
          <w:tcPr>
            <w:tcW w:w="3519" w:type="dxa"/>
            <w:vAlign w:val="center"/>
          </w:tcPr>
          <w:p>
            <w:pPr>
              <w:jc w:val="left"/>
              <w:rPr>
                <w:rFonts w:ascii="仿宋_GB2312" w:hAnsi="仿宋" w:eastAsia="仿宋_GB2312" w:cs="仿宋"/>
                <w:b/>
                <w:spacing w:val="-20"/>
                <w:sz w:val="24"/>
                <w:szCs w:val="24"/>
              </w:rPr>
            </w:pPr>
            <w:r>
              <w:rPr>
                <w:rFonts w:hint="eastAsia" w:ascii="仿宋_GB2312" w:hAnsi="仿宋" w:eastAsia="仿宋_GB2312" w:cs="仿宋"/>
                <w:b/>
                <w:spacing w:val="-20"/>
                <w:sz w:val="24"/>
                <w:szCs w:val="24"/>
              </w:rPr>
              <w:t>承担单位</w:t>
            </w:r>
          </w:p>
        </w:tc>
        <w:tc>
          <w:tcPr>
            <w:tcW w:w="1134" w:type="dxa"/>
            <w:vAlign w:val="center"/>
          </w:tcPr>
          <w:p>
            <w:pPr>
              <w:jc w:val="left"/>
              <w:rPr>
                <w:rFonts w:ascii="仿宋_GB2312" w:hAnsi="仿宋" w:eastAsia="仿宋_GB2312" w:cs="仿宋"/>
                <w:b/>
                <w:spacing w:val="-20"/>
                <w:sz w:val="24"/>
                <w:szCs w:val="24"/>
              </w:rPr>
            </w:pPr>
            <w:r>
              <w:rPr>
                <w:rFonts w:hint="eastAsia" w:ascii="仿宋_GB2312" w:hAnsi="仿宋" w:eastAsia="仿宋_GB2312" w:cs="仿宋"/>
                <w:b/>
                <w:spacing w:val="-20"/>
                <w:sz w:val="24"/>
                <w:szCs w:val="24"/>
              </w:rPr>
              <w:t>所属县区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1</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CXGG17027</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持续性血液净化治疗对热射病早期救治影响的实验研究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中国人民解放军第</w:t>
            </w:r>
            <w:r>
              <w:rPr>
                <w:rFonts w:ascii="仿宋_GB2312" w:hAnsi="宋体" w:eastAsia="仿宋_GB2312" w:cs="宋体"/>
                <w:color w:val="000000"/>
                <w:sz w:val="24"/>
                <w:szCs w:val="24"/>
              </w:rPr>
              <w:t>371</w:t>
            </w:r>
            <w:r>
              <w:rPr>
                <w:rFonts w:hint="eastAsia" w:ascii="仿宋_GB2312" w:hAnsi="宋体" w:eastAsia="仿宋_GB2312" w:cs="宋体"/>
                <w:color w:val="000000"/>
                <w:sz w:val="24"/>
                <w:szCs w:val="24"/>
              </w:rPr>
              <w:t>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2</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CXGG17031</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细胞自噬在脂氧素</w:t>
            </w:r>
            <w:r>
              <w:rPr>
                <w:rFonts w:ascii="仿宋_GB2312" w:hAnsi="宋体" w:eastAsia="仿宋_GB2312" w:cs="宋体"/>
                <w:color w:val="000000"/>
                <w:sz w:val="24"/>
                <w:szCs w:val="24"/>
              </w:rPr>
              <w:t>A4</w:t>
            </w:r>
            <w:r>
              <w:rPr>
                <w:rFonts w:hint="eastAsia" w:ascii="仿宋_GB2312" w:hAnsi="宋体" w:eastAsia="仿宋_GB2312" w:cs="宋体"/>
                <w:color w:val="000000"/>
                <w:sz w:val="24"/>
                <w:szCs w:val="24"/>
              </w:rPr>
              <w:t>防治大鼠脊髓缺血再灌注损伤的作用</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新乡医学院第三附属医院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3</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CXGG17032</w:t>
            </w:r>
          </w:p>
        </w:tc>
        <w:tc>
          <w:tcPr>
            <w:tcW w:w="6374" w:type="dxa"/>
            <w:vAlign w:val="bottom"/>
          </w:tcPr>
          <w:p>
            <w:pPr>
              <w:spacing w:line="280" w:lineRule="exact"/>
              <w:rPr>
                <w:rFonts w:ascii="仿宋_GB2312" w:hAnsi="宋体" w:eastAsia="仿宋_GB2312" w:cs="宋体"/>
                <w:color w:val="000000"/>
                <w:sz w:val="24"/>
                <w:szCs w:val="24"/>
              </w:rPr>
            </w:pPr>
            <w:r>
              <w:rPr>
                <w:rFonts w:ascii="仿宋_GB2312" w:hAnsi="宋体" w:eastAsia="仿宋_GB2312" w:cs="宋体"/>
                <w:color w:val="000000"/>
                <w:sz w:val="24"/>
                <w:szCs w:val="24"/>
              </w:rPr>
              <w:t>MHC</w:t>
            </w:r>
            <w:r>
              <w:rPr>
                <w:rFonts w:hint="eastAsia" w:ascii="仿宋_GB2312" w:hAnsi="宋体" w:eastAsia="仿宋_GB2312" w:cs="宋体"/>
                <w:color w:val="000000"/>
                <w:sz w:val="24"/>
                <w:szCs w:val="24"/>
              </w:rPr>
              <w:t>区域单核苷酸多态性与食管鳞状细胞癌高风险的关系</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新乡医学院第三附属医院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4</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CXGG17033</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射频消融治疗对肝癌患者细胞免疫功能的影响</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新乡医学院第三附属医院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5</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CXGG17034</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脊髓小脑性共济失调</w:t>
            </w:r>
            <w:r>
              <w:rPr>
                <w:rFonts w:ascii="仿宋_GB2312" w:hAnsi="宋体" w:eastAsia="仿宋_GB2312" w:cs="宋体"/>
                <w:color w:val="000000"/>
                <w:sz w:val="24"/>
                <w:szCs w:val="24"/>
              </w:rPr>
              <w:t>3</w:t>
            </w:r>
            <w:r>
              <w:rPr>
                <w:rFonts w:hint="eastAsia" w:ascii="仿宋_GB2312" w:hAnsi="宋体" w:eastAsia="仿宋_GB2312" w:cs="宋体"/>
                <w:color w:val="000000"/>
                <w:sz w:val="24"/>
                <w:szCs w:val="24"/>
              </w:rPr>
              <w:t>型小鼠学习记忆的治疗方法研究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新乡医学院第三附属医院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6</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CXGG17035</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选择性门静脉栓塞在原发性肝癌二期切除中的应用研究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新乡市中心医院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7</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CXGG17036</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经皮肝技术联合胆道镜治疗肝胆管结石临床系统化研究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新乡市中心医院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8</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CXGG17037</w:t>
            </w:r>
          </w:p>
        </w:tc>
        <w:tc>
          <w:tcPr>
            <w:tcW w:w="6374" w:type="dxa"/>
            <w:vAlign w:val="bottom"/>
          </w:tcPr>
          <w:p>
            <w:pPr>
              <w:spacing w:line="280" w:lineRule="exact"/>
              <w:rPr>
                <w:rFonts w:ascii="仿宋_GB2312" w:hAnsi="宋体" w:eastAsia="仿宋_GB2312" w:cs="宋体"/>
                <w:color w:val="000000"/>
                <w:sz w:val="24"/>
                <w:szCs w:val="24"/>
              </w:rPr>
            </w:pPr>
            <w:r>
              <w:rPr>
                <w:rFonts w:ascii="仿宋_GB2312" w:hAnsi="宋体" w:eastAsia="仿宋_GB2312" w:cs="宋体"/>
                <w:color w:val="000000"/>
                <w:sz w:val="24"/>
                <w:szCs w:val="24"/>
              </w:rPr>
              <w:t>3D</w:t>
            </w:r>
            <w:r>
              <w:rPr>
                <w:rFonts w:hint="eastAsia" w:ascii="仿宋_GB2312" w:hAnsi="宋体" w:eastAsia="仿宋_GB2312" w:cs="宋体"/>
                <w:color w:val="000000"/>
                <w:sz w:val="24"/>
                <w:szCs w:val="24"/>
              </w:rPr>
              <w:t>腹腔镜下纳米碳前哨淋巴结活检术联合宫颈癌保留自主神经手术的研究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新乡市中心医院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5" w:type="dxa"/>
            <w:vAlign w:val="bottom"/>
          </w:tcPr>
          <w:p>
            <w:pPr>
              <w:jc w:val="center"/>
              <w:rPr>
                <w:rFonts w:ascii="仿宋_GB2312" w:hAnsi="仿宋" w:eastAsia="仿宋_GB2312" w:cs="仿宋"/>
                <w:b/>
                <w:spacing w:val="-20"/>
                <w:sz w:val="24"/>
                <w:szCs w:val="24"/>
              </w:rPr>
            </w:pPr>
            <w:r>
              <w:rPr>
                <w:rFonts w:hint="eastAsia" w:ascii="仿宋_GB2312" w:hAnsi="仿宋" w:eastAsia="仿宋_GB2312" w:cs="仿宋"/>
                <w:b/>
                <w:spacing w:val="-20"/>
                <w:sz w:val="24"/>
                <w:szCs w:val="24"/>
              </w:rPr>
              <w:t>序号</w:t>
            </w:r>
          </w:p>
        </w:tc>
        <w:tc>
          <w:tcPr>
            <w:tcW w:w="1695" w:type="dxa"/>
            <w:vAlign w:val="bottom"/>
          </w:tcPr>
          <w:p>
            <w:pPr>
              <w:jc w:val="center"/>
              <w:rPr>
                <w:rFonts w:ascii="仿宋_GB2312" w:hAnsi="仿宋" w:eastAsia="仿宋_GB2312" w:cs="仿宋"/>
                <w:b/>
                <w:spacing w:val="-20"/>
                <w:sz w:val="24"/>
                <w:szCs w:val="24"/>
              </w:rPr>
            </w:pPr>
            <w:r>
              <w:rPr>
                <w:rFonts w:hint="eastAsia" w:ascii="仿宋_GB2312" w:hAnsi="仿宋" w:eastAsia="仿宋_GB2312" w:cs="仿宋"/>
                <w:b/>
                <w:spacing w:val="-20"/>
                <w:sz w:val="24"/>
                <w:szCs w:val="24"/>
              </w:rPr>
              <w:t>项目编号</w:t>
            </w:r>
          </w:p>
        </w:tc>
        <w:tc>
          <w:tcPr>
            <w:tcW w:w="6374" w:type="dxa"/>
            <w:vAlign w:val="bottom"/>
          </w:tcPr>
          <w:p>
            <w:pPr>
              <w:jc w:val="center"/>
              <w:rPr>
                <w:rFonts w:ascii="仿宋_GB2312" w:hAnsi="仿宋" w:eastAsia="仿宋_GB2312" w:cs="仿宋"/>
                <w:b/>
                <w:spacing w:val="-20"/>
                <w:sz w:val="24"/>
                <w:szCs w:val="24"/>
              </w:rPr>
            </w:pPr>
            <w:r>
              <w:rPr>
                <w:rFonts w:hint="eastAsia" w:ascii="仿宋_GB2312" w:hAnsi="仿宋" w:eastAsia="仿宋_GB2312" w:cs="仿宋"/>
                <w:b/>
                <w:spacing w:val="-20"/>
                <w:sz w:val="24"/>
                <w:szCs w:val="24"/>
              </w:rPr>
              <w:t>项目名称</w:t>
            </w:r>
          </w:p>
        </w:tc>
        <w:tc>
          <w:tcPr>
            <w:tcW w:w="3519" w:type="dxa"/>
            <w:vAlign w:val="bottom"/>
          </w:tcPr>
          <w:p>
            <w:pPr>
              <w:jc w:val="center"/>
              <w:rPr>
                <w:rFonts w:ascii="仿宋_GB2312" w:hAnsi="仿宋" w:eastAsia="仿宋_GB2312" w:cs="仿宋"/>
                <w:b/>
                <w:spacing w:val="-20"/>
                <w:sz w:val="24"/>
                <w:szCs w:val="24"/>
              </w:rPr>
            </w:pPr>
            <w:r>
              <w:rPr>
                <w:rFonts w:hint="eastAsia" w:ascii="仿宋_GB2312" w:hAnsi="仿宋" w:eastAsia="仿宋_GB2312" w:cs="仿宋"/>
                <w:b/>
                <w:spacing w:val="-20"/>
                <w:sz w:val="24"/>
                <w:szCs w:val="24"/>
              </w:rPr>
              <w:t>承担单位</w:t>
            </w:r>
          </w:p>
        </w:tc>
        <w:tc>
          <w:tcPr>
            <w:tcW w:w="1134" w:type="dxa"/>
            <w:vAlign w:val="bottom"/>
          </w:tcPr>
          <w:p>
            <w:pPr>
              <w:jc w:val="center"/>
              <w:rPr>
                <w:rFonts w:ascii="仿宋_GB2312" w:hAnsi="仿宋" w:eastAsia="仿宋_GB2312" w:cs="仿宋"/>
                <w:b/>
                <w:spacing w:val="-20"/>
                <w:sz w:val="24"/>
                <w:szCs w:val="24"/>
              </w:rPr>
            </w:pPr>
            <w:r>
              <w:rPr>
                <w:rFonts w:hint="eastAsia" w:ascii="仿宋_GB2312" w:hAnsi="仿宋" w:eastAsia="仿宋_GB2312" w:cs="仿宋"/>
                <w:b/>
                <w:spacing w:val="-20"/>
                <w:sz w:val="24"/>
                <w:szCs w:val="24"/>
              </w:rPr>
              <w:t>所属县区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9</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CXGG17038</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腹腔镜袖状胃切除术治疗肥胖相关月经紊乱的临床研究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新乡市第二人民医院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10</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CXGG17039</w:t>
            </w:r>
          </w:p>
        </w:tc>
        <w:tc>
          <w:tcPr>
            <w:tcW w:w="6374" w:type="dxa"/>
            <w:vAlign w:val="bottom"/>
          </w:tcPr>
          <w:p>
            <w:pPr>
              <w:spacing w:line="280" w:lineRule="exact"/>
              <w:rPr>
                <w:rFonts w:ascii="仿宋_GB2312" w:hAnsi="宋体" w:eastAsia="仿宋_GB2312" w:cs="宋体"/>
                <w:color w:val="000000"/>
                <w:sz w:val="24"/>
                <w:szCs w:val="24"/>
              </w:rPr>
            </w:pPr>
            <w:r>
              <w:rPr>
                <w:rFonts w:ascii="仿宋_GB2312" w:hAnsi="宋体" w:eastAsia="仿宋_GB2312" w:cs="宋体"/>
                <w:color w:val="000000"/>
                <w:sz w:val="24"/>
                <w:szCs w:val="24"/>
              </w:rPr>
              <w:t>CYP2C9</w:t>
            </w:r>
            <w:r>
              <w:rPr>
                <w:rFonts w:hint="eastAsia" w:ascii="仿宋_GB2312" w:hAnsi="宋体" w:eastAsia="仿宋_GB2312" w:cs="宋体"/>
                <w:color w:val="000000"/>
                <w:sz w:val="24"/>
                <w:szCs w:val="24"/>
              </w:rPr>
              <w:t>和</w:t>
            </w:r>
            <w:r>
              <w:rPr>
                <w:rFonts w:ascii="仿宋_GB2312" w:hAnsi="宋体" w:eastAsia="仿宋_GB2312" w:cs="宋体"/>
                <w:color w:val="000000"/>
                <w:sz w:val="24"/>
                <w:szCs w:val="24"/>
              </w:rPr>
              <w:t>VKORC1</w:t>
            </w:r>
            <w:r>
              <w:rPr>
                <w:rFonts w:hint="eastAsia" w:ascii="仿宋_GB2312" w:hAnsi="宋体" w:eastAsia="仿宋_GB2312" w:cs="宋体"/>
                <w:color w:val="000000"/>
                <w:sz w:val="24"/>
                <w:szCs w:val="24"/>
              </w:rPr>
              <w:t>基因多态性对房颤</w:t>
            </w:r>
            <w:r>
              <w:rPr>
                <w:rFonts w:ascii="仿宋_GB2312" w:hAnsi="宋体" w:eastAsia="仿宋_GB2312" w:cs="宋体"/>
                <w:color w:val="000000"/>
                <w:sz w:val="24"/>
                <w:szCs w:val="24"/>
              </w:rPr>
              <w:t>PCI</w:t>
            </w:r>
            <w:r>
              <w:rPr>
                <w:rFonts w:hint="eastAsia" w:ascii="仿宋_GB2312" w:hAnsi="宋体" w:eastAsia="仿宋_GB2312" w:cs="宋体"/>
                <w:color w:val="000000"/>
                <w:sz w:val="24"/>
                <w:szCs w:val="24"/>
              </w:rPr>
              <w:t>术后华法林初始和维持剂量抗凝效果的影响</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新乡市第二人民医院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11</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CXGG17040</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丙泊酚在剖宫产全麻中对新生儿安全性研究</w:t>
            </w:r>
          </w:p>
        </w:tc>
        <w:tc>
          <w:tcPr>
            <w:tcW w:w="3519" w:type="dxa"/>
            <w:vAlign w:val="bottom"/>
          </w:tcPr>
          <w:p>
            <w:pPr>
              <w:spacing w:line="280" w:lineRule="exact"/>
              <w:rPr>
                <w:rFonts w:ascii="仿宋_GB2312" w:hAnsi="宋体" w:eastAsia="仿宋_GB2312" w:cs="宋体"/>
                <w:color w:val="000000"/>
                <w:spacing w:val="-6"/>
                <w:sz w:val="24"/>
                <w:szCs w:val="24"/>
              </w:rPr>
            </w:pPr>
            <w:r>
              <w:rPr>
                <w:rFonts w:hint="eastAsia" w:ascii="仿宋_GB2312" w:hAnsi="宋体" w:eastAsia="仿宋_GB2312" w:cs="宋体"/>
                <w:color w:val="000000"/>
                <w:spacing w:val="-6"/>
                <w:sz w:val="24"/>
                <w:szCs w:val="24"/>
              </w:rPr>
              <w:t>新乡市妇幼保健院</w:t>
            </w:r>
          </w:p>
        </w:tc>
        <w:tc>
          <w:tcPr>
            <w:tcW w:w="1134" w:type="dxa"/>
            <w:vAlign w:val="bottom"/>
          </w:tcPr>
          <w:p>
            <w:pPr>
              <w:jc w:val="center"/>
              <w:rPr>
                <w:rFonts w:ascii="仿宋_GB2312" w:eastAsia="仿宋_GB2312"/>
                <w:sz w:val="24"/>
                <w:szCs w:val="24"/>
              </w:rPr>
            </w:pPr>
            <w:r>
              <w:rPr>
                <w:rFonts w:hint="eastAsia" w:ascii="仿宋_GB2312" w:hAnsi="宋体" w:eastAsia="仿宋_GB2312" w:cs="宋体"/>
                <w:color w:val="000000"/>
                <w:sz w:val="24"/>
                <w:szCs w:val="24"/>
              </w:rPr>
              <w:t>市属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745" w:type="dxa"/>
            <w:vAlign w:val="bottom"/>
          </w:tcPr>
          <w:p>
            <w:pPr>
              <w:autoSpaceDE w:val="0"/>
              <w:autoSpaceDN w:val="0"/>
              <w:jc w:val="center"/>
              <w:rPr>
                <w:rFonts w:ascii="仿宋_GB2312" w:eastAsia="仿宋_GB2312" w:cs="宋体"/>
                <w:color w:val="000000"/>
                <w:sz w:val="24"/>
                <w:szCs w:val="24"/>
              </w:rPr>
            </w:pPr>
            <w:r>
              <w:rPr>
                <w:rFonts w:ascii="仿宋_GB2312" w:eastAsia="仿宋_GB2312" w:cs="宋体"/>
                <w:color w:val="000000"/>
                <w:sz w:val="24"/>
                <w:szCs w:val="24"/>
              </w:rPr>
              <w:t>12</w:t>
            </w:r>
          </w:p>
        </w:tc>
        <w:tc>
          <w:tcPr>
            <w:tcW w:w="1695" w:type="dxa"/>
            <w:vAlign w:val="bottom"/>
          </w:tcPr>
          <w:p>
            <w:pPr>
              <w:jc w:val="center"/>
              <w:rPr>
                <w:rFonts w:ascii="仿宋_GB2312" w:hAnsi="仿宋" w:eastAsia="仿宋_GB2312" w:cs="仿宋"/>
                <w:color w:val="000000"/>
                <w:sz w:val="24"/>
                <w:szCs w:val="24"/>
              </w:rPr>
            </w:pPr>
            <w:r>
              <w:rPr>
                <w:rFonts w:ascii="仿宋_GB2312" w:hAnsi="仿宋" w:eastAsia="仿宋_GB2312" w:cs="仿宋"/>
                <w:color w:val="000000"/>
                <w:sz w:val="24"/>
                <w:szCs w:val="24"/>
              </w:rPr>
              <w:t>CXGG17023</w:t>
            </w:r>
          </w:p>
        </w:tc>
        <w:tc>
          <w:tcPr>
            <w:tcW w:w="6374"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新乡市卫河水系水文情势变化及环境流研究</w:t>
            </w:r>
          </w:p>
        </w:tc>
        <w:tc>
          <w:tcPr>
            <w:tcW w:w="3519" w:type="dxa"/>
            <w:vAlign w:val="bottom"/>
          </w:tcPr>
          <w:p>
            <w:pPr>
              <w:spacing w:line="28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河南省新乡水文水资源勘测局</w:t>
            </w:r>
          </w:p>
        </w:tc>
        <w:tc>
          <w:tcPr>
            <w:tcW w:w="1134" w:type="dxa"/>
            <w:vAlign w:val="bottom"/>
          </w:tcPr>
          <w:p>
            <w:pPr>
              <w:spacing w:line="28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市属</w:t>
            </w:r>
          </w:p>
        </w:tc>
      </w:tr>
    </w:tbl>
    <w:p>
      <w:pPr>
        <w:spacing w:line="220" w:lineRule="atLeast"/>
      </w:pPr>
    </w:p>
    <w:sectPr>
      <w:footerReference r:id="rId3" w:type="default"/>
      <w:footerReference r:id="rId4" w:type="even"/>
      <w:pgSz w:w="16838" w:h="11906" w:orient="landscape"/>
      <w:pgMar w:top="1474" w:right="1440" w:bottom="1474"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720"/>
  <w:drawingGridHorizontalSpacing w:val="110"/>
  <w:drawingGridVerticalSpacing w:val="156"/>
  <w:displayHorizontalDrawingGridEvery w:val="2"/>
  <w:displayVerticalDrawingGridEvery w:val="2"/>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51192"/>
    <w:rsid w:val="0008288A"/>
    <w:rsid w:val="000C6153"/>
    <w:rsid w:val="000D6123"/>
    <w:rsid w:val="00137827"/>
    <w:rsid w:val="001405BA"/>
    <w:rsid w:val="00141D59"/>
    <w:rsid w:val="00150A44"/>
    <w:rsid w:val="00153EF7"/>
    <w:rsid w:val="001E6A45"/>
    <w:rsid w:val="001F060F"/>
    <w:rsid w:val="002828BF"/>
    <w:rsid w:val="002F564C"/>
    <w:rsid w:val="00305B21"/>
    <w:rsid w:val="00323B43"/>
    <w:rsid w:val="0034269C"/>
    <w:rsid w:val="00356783"/>
    <w:rsid w:val="0038556B"/>
    <w:rsid w:val="003D37D8"/>
    <w:rsid w:val="003E722A"/>
    <w:rsid w:val="00415714"/>
    <w:rsid w:val="0041762A"/>
    <w:rsid w:val="00426133"/>
    <w:rsid w:val="0042671E"/>
    <w:rsid w:val="004358AB"/>
    <w:rsid w:val="0045081F"/>
    <w:rsid w:val="00464F5A"/>
    <w:rsid w:val="00480EFD"/>
    <w:rsid w:val="004F3F35"/>
    <w:rsid w:val="005736B5"/>
    <w:rsid w:val="00582019"/>
    <w:rsid w:val="005F2397"/>
    <w:rsid w:val="00632654"/>
    <w:rsid w:val="00666692"/>
    <w:rsid w:val="0068170B"/>
    <w:rsid w:val="006B67FA"/>
    <w:rsid w:val="006D742A"/>
    <w:rsid w:val="00762278"/>
    <w:rsid w:val="007A42F1"/>
    <w:rsid w:val="007A58F1"/>
    <w:rsid w:val="00810492"/>
    <w:rsid w:val="008374D2"/>
    <w:rsid w:val="00872FE0"/>
    <w:rsid w:val="00894677"/>
    <w:rsid w:val="008B7726"/>
    <w:rsid w:val="009B6B8A"/>
    <w:rsid w:val="00A02ECB"/>
    <w:rsid w:val="00A805E2"/>
    <w:rsid w:val="00AB3737"/>
    <w:rsid w:val="00AC3862"/>
    <w:rsid w:val="00B57C7B"/>
    <w:rsid w:val="00BB2DA1"/>
    <w:rsid w:val="00BE221D"/>
    <w:rsid w:val="00C54FFB"/>
    <w:rsid w:val="00C931D7"/>
    <w:rsid w:val="00D01E62"/>
    <w:rsid w:val="00D31D50"/>
    <w:rsid w:val="00D6183D"/>
    <w:rsid w:val="00D7325B"/>
    <w:rsid w:val="00E23AAE"/>
    <w:rsid w:val="00E33B88"/>
    <w:rsid w:val="00E33C00"/>
    <w:rsid w:val="00E3575D"/>
    <w:rsid w:val="00E64394"/>
    <w:rsid w:val="00EB7784"/>
    <w:rsid w:val="00EC3E43"/>
    <w:rsid w:val="00EC6750"/>
    <w:rsid w:val="00F33062"/>
    <w:rsid w:val="00F6029A"/>
    <w:rsid w:val="00FA7145"/>
    <w:rsid w:val="00FF7EF8"/>
    <w:rsid w:val="57DB5B01"/>
    <w:rsid w:val="64FE06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125</Words>
  <Characters>719</Characters>
  <Lines>0</Lines>
  <Paragraphs>0</Paragraphs>
  <TotalTime>70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2019-12-27T09:18:48Z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