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关于开展2018年度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全省科普统计调查工作的通知</w:t>
      </w:r>
    </w:p>
    <w:p>
      <w:pPr>
        <w:spacing w:line="6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after="0" w:line="6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各省辖市、省直管县（市）科技局，省直有关部门，各有关单位：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按照《科技部关于开展2018年度全国科普统计调查工作的通知》的部署，我省将组织开展2018年度全省科普统计调查工作。科普统计调查工作将按照统一部署，分工负责的方式实施。现就有关要求通知如下。</w:t>
      </w:r>
    </w:p>
    <w:p>
      <w:pPr>
        <w:spacing w:after="0" w:line="6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一、调查内容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1、调查全省科普资源投入状况，具体包括科普人员、科普场地、科普经费、科普传媒、科普活动以及创新创业中的科普等，共6大类124个指标。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2、监测全省科普工作运行状况，了解我省科普活动开展的总体情况。</w:t>
      </w:r>
    </w:p>
    <w:p>
      <w:pPr>
        <w:spacing w:after="0" w:line="6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二、时间安排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1、2019年5月中旬，基层数据填报；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2、2019年5月底，各省辖市、省直管县科技局、省直有关部门确保本地区、本部门完成在线填报及数据的审核与汇总；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3、2019年6月5日前，完成全省审核与汇总。</w:t>
      </w:r>
    </w:p>
    <w:p>
      <w:pPr>
        <w:spacing w:after="0" w:line="62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三、工作要求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各省辖市、省直管县及有关部门高度重视科普统计调查工作，将科普统计调查纳入年度工作任务，切实加强领导，层层压实责任，落实经费、人员等相关保障条件。要按照《2018年度全省科普统计调查方案》（见附件1）的要求，统筹调度安排，分工负责实施，保质保量完成科普统计调查任务，确保填报数据的真实性、准确性、完整性。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各省辖市、省直管县科技局、省直有关部门、有关单位应于2019年6月5日前，确保本地区、本部门的科普统计数据完成在线提交。并将本地区、本部门数据汇总后盖章的纸质《2018年度科普统计调查表》（见附件2）报送省高技术创业服务中心。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3、各省辖市、省直管县科技局、省直有关部门、有关单位确定一位统计调查联络员，于2019年5月15日前，将科普统计工作联系人回执（附件3）发送至科普统计工作专用邮箱。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4、各省辖市及有关部门认真总结以往科普统计调查工作的成功经验，做好2018年度科普统计调查在线填报工作，保证科普统计调查工作按照时间要求，完成任务。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5、因机构改革尚处于调整中的部门，在开展2018年度科普统计工作时按照原部门填报，并做好对接工作。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联系人及电话：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省高技术创业服务中心（郑州市政七街金岸大厦626室）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李鹏强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p>
      <w:pPr>
        <w:spacing w:after="0" w:line="62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联系电话：0371-65832785/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13525566673</w:t>
      </w:r>
      <w:bookmarkStart w:id="9" w:name="_GoBack"/>
      <w:bookmarkEnd w:id="9"/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省科技厅：董雅松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联系电话：0371-65506252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邮  箱：</w:t>
      </w:r>
      <w:r>
        <w:fldChar w:fldCharType="begin"/>
      </w:r>
      <w:r>
        <w:instrText xml:space="preserve"> HYPERLINK "mailto:kptj2009@126.com" </w:instrText>
      </w:r>
      <w:r>
        <w:fldChar w:fldCharType="separate"/>
      </w:r>
      <w:r>
        <w:rPr>
          <w:rStyle w:val="12"/>
          <w:rFonts w:hint="eastAsia" w:ascii="仿宋_GB2312" w:hAnsi="仿宋" w:eastAsia="仿宋_GB2312"/>
          <w:sz w:val="32"/>
          <w:szCs w:val="32"/>
        </w:rPr>
        <w:t>kptj2009@126.com</w:t>
      </w:r>
      <w:r>
        <w:rPr>
          <w:rStyle w:val="12"/>
          <w:rFonts w:hint="eastAsia" w:ascii="仿宋_GB2312" w:hAnsi="仿宋" w:eastAsia="仿宋_GB2312"/>
          <w:sz w:val="32"/>
          <w:szCs w:val="32"/>
        </w:rPr>
        <w:fldChar w:fldCharType="end"/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河南省科普统计工作交流QQ群：12677951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附件：1、2018年度科普统计调查方案</w:t>
      </w:r>
    </w:p>
    <w:p>
      <w:pPr>
        <w:spacing w:after="0" w:line="6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2、2018年度科普统计调查表</w:t>
      </w:r>
    </w:p>
    <w:p>
      <w:pPr>
        <w:spacing w:after="0" w:line="6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3、科普统计工作联系人回执</w:t>
      </w:r>
    </w:p>
    <w:p>
      <w:pPr>
        <w:spacing w:after="0" w:line="6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after="0" w:line="620" w:lineRule="exact"/>
        <w:ind w:firstLine="5600" w:firstLineChars="17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2019年5月7日</w:t>
      </w:r>
    </w:p>
    <w:p>
      <w:pPr>
        <w:adjustRightInd/>
        <w:snapToGrid/>
        <w:spacing w:after="0"/>
        <w:rPr>
          <w:rFonts w:ascii="仿宋_GB2312" w:hAnsi="黑体" w:eastAsia="仿宋_GB2312" w:cs="Times New Roman"/>
          <w:sz w:val="32"/>
          <w:szCs w:val="32"/>
        </w:rPr>
      </w:pPr>
      <w:r>
        <w:rPr>
          <w:rFonts w:ascii="仿宋_GB2312" w:hAnsi="黑体" w:eastAsia="仿宋_GB2312" w:cs="Times New Roman"/>
          <w:sz w:val="32"/>
          <w:szCs w:val="32"/>
        </w:rPr>
        <w:br w:type="page"/>
      </w:r>
    </w:p>
    <w:p>
      <w:pPr>
        <w:widowControl w:val="0"/>
        <w:topLinePunct/>
        <w:spacing w:after="0" w:line="620" w:lineRule="exact"/>
        <w:jc w:val="both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附件1</w:t>
      </w:r>
    </w:p>
    <w:p>
      <w:pPr>
        <w:widowControl w:val="0"/>
        <w:topLinePunct/>
        <w:spacing w:after="0" w:line="620" w:lineRule="exact"/>
        <w:jc w:val="center"/>
        <w:rPr>
          <w:rFonts w:hint="eastAsia" w:ascii="黑体" w:hAnsi="黑体" w:eastAsia="黑体" w:cs="Times New Roman"/>
          <w:b/>
          <w:bCs/>
          <w:spacing w:val="6"/>
          <w:sz w:val="44"/>
          <w:szCs w:val="44"/>
        </w:rPr>
      </w:pPr>
      <w:bookmarkStart w:id="0" w:name="_Toc313693495"/>
      <w:r>
        <w:rPr>
          <w:rFonts w:hint="eastAsia" w:ascii="黑体" w:hAnsi="黑体" w:eastAsia="黑体" w:cs="Times New Roman"/>
          <w:b/>
          <w:bCs/>
          <w:spacing w:val="6"/>
          <w:sz w:val="44"/>
          <w:szCs w:val="44"/>
        </w:rPr>
        <w:t>2018年度河南省科普统计调查方案</w:t>
      </w:r>
      <w:bookmarkEnd w:id="0"/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一、科普统计的内容和任务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科普统计是科技统计的重要组成部分。通过开展科普统计调查，可以使政府管理部门及时掌握全省科普资源概况，更好地监测全省科普工作质量，为政府制定科普政策提供依据。因此，全省科普统计的内容包括两个方面：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1、调查全省科普资源投入状况，具体包括科普人员、科普场地、科普经费、科普传媒、科普活动以及创新创业中的科普等，共6大类124个指标。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2、监测全省科普工作运行状况，了解全省科普活动开展的总体情况。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二、科普统计的范围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本次统计的范围包括省、市、县（区）人民政府有关部门及其直属单位、社会团体等机构和组织。统计填报单位主要包括：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 省级单位：省发展改革委、省教育厅、省科技厅、省工业和信息化厅、省民委、省公安厅、省民政厅、省人力资源社会保障厅、省自然资源厅（含省林草局）、省生态环境厅、省住房城乡建设厅、省交通运输厅、省水利厅、省农业农村厅、省文化和旅游厅、省卫生健康委、省应急厅（含省地震局、省煤矿安监局）、省国资委、省市场监管局（含省药监局、省知识产权局）、省广电局、省体育局、省科学院、省社科院、省气象局、省粮食和储备局、省科工局（办）、省共青团、省工会、省妇联、省科协等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市级单位（机构改革未完成的市按照原部门填报）：市发展改革委、市教育局、市科技局、市工业和信息化局（委）、市民委、市公安局、市民政局、市人力资源社会保障局、市自然资源局（含市林草局）、市生态环境局、市住房城乡建设局、市交通运输局、市水利局、市农业农村局、市文化和旅游局、市卫生健康委、市应急局（含市地震局、市煤矿安监局）、市国资委、市市场监管局（含市药监局、市知识产权局）、市广电局、市体育局、市科学院、市社科院、市气象局、市粮食和储备局、市共青团、市工会、市妇联、市科协等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县级单位（机构改革未完成的县按照原部门填报）：县发展改革委、县教育局、县科技局、县工业和信息化局（委）、县民委、县公安局、县民政局、县人力资源社会保障局、县自然资源局（含县林草局）、县生态环境局、县住房城乡建设局、县交通运输局、县水利局、县农业农村局、县文化和旅游局、县卫生健康委、县应急局（含县地震局、县煤矿安监局）、县国资委、县市场监管局（含县药监局、县知识产权局）、县广电局、县体育局、县气象局、县粮食和储备局、县共青团、县工会、县妇联、县科协等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三、科普统计的组织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科普统计由省科技厅牵头，负责制定统计方案，提出工作要求，指导和协调省直有关部门、单位和各省辖市科技管理部门的统计工作。河南省高技术创业服务中心（以下简称省创业中心）负责具体统计实施工作。各省辖市、县科技行政管理部门牵头组织本行政区域内各单位的科普统计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四、科普统计的操作步骤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全省科普统计按省直部门、单位及市、县分级实施，采取条块结合的方式。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科技厅负责全省科普统计。包括：向省直有关部门、单位、各省辖市科技局布置科普统计任务，对统计人员在线填报培训，审核数据；把全省所有调查表录入全国科普统计数据库，建立全省科普统计数据库；将全省数据汇总后盖章的纸质调查表报送科技部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省直有关部门、单位负责本部门、单位及其直属机构的科普统计工作。包括：向直属机构布置科普统计工作并对有关人员在线填报培训，审核数据；将本部门、单位的数据汇总后盖章的纸质调查表报送省科技厅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3、市科技局负责本市科普统计。包括：向本市同级有关部门、所属县科技局布置科普统计任务，对统计人员进行培训，审核数据；将本市数据汇总后盖章的纸质调查表报送省科技厅。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4、县科技局负责本县科普统计。包括：向本县同级有关部门布置科普统计任务，对统计人员进行培训，审核数据；将本县数据汇总后盖章的纸质调查表报送市科技局。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五、在线填报系统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2018年度全国科普统计工作实行数据在线填报，各填报单位可以在中国科技情报网（http://kptj.chinainfo.org.cn）登录填报、审核、提交数据。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科普统计培训PPT及培训教材由中国科学技术信息研究所编写，可在以上网址下载。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六、填报时间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请省直各有关部门、省辖市科技行政管理部门务必于2019年6月5日前确保本地区、本部门完成在线填报及数据的审核与汇总，并将本部门、本地区数据汇总后盖章的纸质调查表报送省创业中心。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七、数据的修正和反馈</w:t>
      </w:r>
      <w:r>
        <w:rPr>
          <w:rFonts w:hint="eastAsia" w:ascii="仿宋_GB2312" w:hAnsi="黑体" w:eastAsia="仿宋_GB2312"/>
          <w:b/>
        </w:rPr>
        <w:tab/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调查数据的质量是统计工作的灵魂。没有严格的数据质量控制，难以保障数据填报的真实。因此，省直各有关部门、各级科技行政管理部门和填报单位，要有高度的责任心，对填报的数据进行层层把关。为明确责任，严控数据质量，对有关各级部门责任划分如下：</w:t>
      </w:r>
    </w:p>
    <w:p>
      <w:pPr>
        <w:numPr>
          <w:ilvl w:val="0"/>
          <w:numId w:val="1"/>
        </w:num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科技厅对省直部门、单位和各省辖市科技局填报的数据进行审核，对有疑义或明显错误的数据，要求其进行核实和修正；省直有关部门、单位对本部门、单位上报省科技厅的数据负责，并应对本系统下属市级部门、单位上报数据进行审核，协助省科技厅做好数据质量控制工作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省辖市科技局对本市同级部门和所属各县的数据进行审核，对有疑义或明显错误的数据，应要求其进行核实和修正；其他市级相关部门对本部门报送市科技局的数据负责，并应对本系统下属县级部门、单位上报数据进行抽查，协助市科技局做好数据质量控制工作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3、县科技局对本县同级部门的数据进行审核，对有疑义或明显错误的数据，应要求其进行核实和修正；其他县级相关部门对本部门填报的数据负责，协助县科技局做好数据质量控制工作。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八、注意事项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对于“科普场馆”部分的填报要求。凡在“科普场地”报表中填写“科普场馆”数据的单位，均需确保此“科普场馆”的数据单独在线填报，不能与其他单位汇总填报。</w:t>
      </w:r>
    </w:p>
    <w:p>
      <w:pPr>
        <w:ind w:firstLine="616"/>
        <w:rPr>
          <w:rFonts w:ascii="仿宋_GB2312" w:hAnsi="仿宋" w:eastAsia="仿宋_GB2312"/>
          <w:sz w:val="32"/>
          <w:szCs w:val="32"/>
        </w:rPr>
      </w:pPr>
    </w:p>
    <w:p>
      <w:pPr>
        <w:ind w:firstLine="616"/>
        <w:rPr>
          <w:rFonts w:ascii="仿宋_GB2312" w:hAnsi="仿宋" w:eastAsia="仿宋_GB2312"/>
          <w:sz w:val="32"/>
          <w:szCs w:val="32"/>
        </w:rPr>
      </w:pPr>
    </w:p>
    <w:p>
      <w:pPr>
        <w:ind w:firstLine="616"/>
        <w:rPr>
          <w:rFonts w:ascii="仿宋_GB2312" w:hAnsi="仿宋" w:eastAsia="仿宋_GB2312"/>
          <w:sz w:val="32"/>
          <w:szCs w:val="32"/>
        </w:rPr>
      </w:pPr>
    </w:p>
    <w:p>
      <w:pPr>
        <w:ind w:firstLine="616"/>
        <w:rPr>
          <w:rFonts w:ascii="仿宋_GB2312" w:hAnsi="仿宋" w:eastAsia="仿宋_GB2312"/>
          <w:sz w:val="32"/>
          <w:szCs w:val="32"/>
        </w:rPr>
      </w:pPr>
    </w:p>
    <w:p>
      <w:pPr>
        <w:ind w:firstLine="616"/>
        <w:rPr>
          <w:rFonts w:ascii="仿宋_GB2312" w:hAnsi="仿宋" w:eastAsia="仿宋_GB2312"/>
          <w:sz w:val="32"/>
          <w:szCs w:val="32"/>
        </w:rPr>
      </w:pPr>
    </w:p>
    <w:p>
      <w:pPr>
        <w:adjustRightInd/>
        <w:snapToGrid/>
        <w:spacing w:after="0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ascii="黑体" w:hAnsi="黑体"/>
        </w:rPr>
        <w:br w:type="page"/>
      </w:r>
    </w:p>
    <w:p>
      <w:pPr>
        <w:pStyle w:val="2"/>
        <w:ind w:firstLine="0" w:firstLineChars="0"/>
        <w:rPr>
          <w:rFonts w:ascii="黑体" w:hAnsi="黑体"/>
        </w:rPr>
      </w:pPr>
      <w:r>
        <w:rPr>
          <w:rFonts w:hint="eastAsia" w:ascii="黑体" w:hAnsi="黑体"/>
        </w:rPr>
        <w:t>附件2</w:t>
      </w: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widowControl w:val="0"/>
        <w:spacing w:after="0" w:line="353" w:lineRule="auto"/>
        <w:jc w:val="center"/>
        <w:rPr>
          <w:rFonts w:ascii="仿宋" w:hAnsi="仿宋" w:eastAsia="仿宋" w:cs="Times New Roman"/>
          <w:b/>
          <w:bCs/>
          <w:spacing w:val="28"/>
          <w:sz w:val="44"/>
        </w:rPr>
      </w:pPr>
      <w:r>
        <w:rPr>
          <w:rFonts w:ascii="仿宋" w:hAnsi="仿宋" w:eastAsia="仿宋" w:cs="Times New Roman"/>
          <w:b/>
          <w:bCs/>
          <w:spacing w:val="28"/>
          <w:sz w:val="44"/>
        </w:rPr>
        <w:t>2018年度科普统计调查表</w:t>
      </w: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ind w:firstLine="616"/>
        <w:rPr>
          <w:rFonts w:ascii="仿宋" w:hAnsi="仿宋" w:eastAsia="仿宋"/>
        </w:rPr>
      </w:pPr>
    </w:p>
    <w:p>
      <w:pPr>
        <w:spacing w:after="0" w:line="360" w:lineRule="auto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中华人民共和国科学技术部制定</w:t>
      </w:r>
    </w:p>
    <w:p>
      <w:pPr>
        <w:spacing w:after="0" w:line="360" w:lineRule="auto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国家统计局批准</w:t>
      </w:r>
    </w:p>
    <w:p>
      <w:pPr>
        <w:spacing w:after="0" w:line="360" w:lineRule="auto"/>
        <w:jc w:val="center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2019年3月</w:t>
      </w:r>
    </w:p>
    <w:p>
      <w:pPr>
        <w:widowControl w:val="0"/>
        <w:spacing w:after="0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ascii="仿宋" w:hAnsi="仿宋" w:eastAsia="仿宋" w:cs="Times New Roman"/>
          <w:sz w:val="32"/>
        </w:rPr>
        <w:br w:type="page"/>
      </w: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ascii="仿宋" w:hAnsi="仿宋" w:eastAsia="仿宋" w:cs="Times New Roman"/>
          <w:b/>
          <w:bCs/>
          <w:spacing w:val="6"/>
          <w:sz w:val="36"/>
        </w:rPr>
        <w:t>填 报 说 明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（一）调查目的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为了掌握国家科普资源基本状况，了解国家科普工作运行质量；切实履行科技部门的职责，建立有序的工作制度，特制定本报表制度。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（二）调查对象和统计范围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国家机关、社会团体和企事业单位等机构和组织。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（三）调查内容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本报表制度主要调查上述对象的科普人员、科普场地、科普经费、科普传媒、科普活动、创新创业中的科普等六个方面。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（四）调查频率和时间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本报表制度为年报。报告期为1月1日—12月31日。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（五）调查方法</w:t>
      </w:r>
    </w:p>
    <w:p>
      <w:pPr>
        <w:widowControl w:val="0"/>
        <w:spacing w:after="0" w:line="324" w:lineRule="auto"/>
        <w:ind w:firstLine="46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pacing w:val="-5"/>
          <w:sz w:val="24"/>
        </w:rPr>
        <w:t>本调查为全面调查，填报单位需严格按照报表所规定的指标含义、指标解释进行填报。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（六）凡在表“KP-002科普场地”的第一部分“科普场馆”填报数据的单位，均需确保此“科普场馆”的数据单独在线填报，不能与其他单位汇总填报。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（七）机构主管部门类别代码</w:t>
      </w:r>
    </w:p>
    <w:p>
      <w:pPr>
        <w:widowControl w:val="0"/>
        <w:spacing w:after="0" w:line="324" w:lineRule="auto"/>
        <w:ind w:firstLine="480" w:firstLineChars="200"/>
        <w:jc w:val="both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发展改革部门（25）、教育部门（03）、科技管理部门（01）、工业和信息化部门（19）、民族事务部门（21）、公安部门（20）、民政部门（26）、人力资源和社会保障部门（27）、自然资源部门（含林业和草原系统（11））（04）、生态环境部门（09）、住房和城乡建设部门（34）、交通运输部门（含民用航空系统、铁路系统）（33）、水利部门（35）、农业农村部门（05）、文化和旅游部门（06）（旅游部门（12）合并到文化部门（06））、卫生健康部门（07）（计生部门（08）已合并到卫生部门（07））、应急管理部门（含地震系统（14）、煤矿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粮食和储备系统（23）、国防科技工业部门（</w:t>
      </w:r>
      <w:r>
        <w:rPr>
          <w:rFonts w:ascii="仿宋" w:hAnsi="仿宋" w:eastAsia="仿宋"/>
          <w:sz w:val="24"/>
        </w:rPr>
        <w:t>39</w:t>
      </w:r>
      <w:r>
        <w:rPr>
          <w:rFonts w:hint="eastAsia" w:ascii="仿宋" w:hAnsi="仿宋" w:eastAsia="仿宋"/>
          <w:sz w:val="24"/>
        </w:rPr>
        <w:t>）、共青团组织（16）、工会组织（18）、妇联组织（17）、科协组织（02）、其他部门（30）</w:t>
      </w: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ascii="仿宋" w:hAnsi="仿宋" w:eastAsia="仿宋"/>
          <w:sz w:val="24"/>
        </w:rPr>
        <w:br w:type="page"/>
      </w:r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本报表制度根据《中华人民共和国统计法》</w:t>
      </w:r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的有关规定制定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ind w:firstLine="45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ind w:firstLine="45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《中华人民共和国统计法》第九条规定：统计机构和统计人员对在统计工作中知悉的国家秘密、商业秘密和个人信息，应当予以保密。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ind w:firstLine="45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>
      <w:pPr>
        <w:ind w:firstLine="456"/>
        <w:rPr>
          <w:rFonts w:ascii="仿宋" w:hAnsi="仿宋" w:eastAsia="仿宋"/>
          <w:sz w:val="24"/>
        </w:rPr>
      </w:pP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  <w:r>
        <w:rPr>
          <w:rFonts w:hint="eastAsia" w:ascii="仿宋" w:hAnsi="仿宋" w:eastAsia="仿宋" w:cs="宋体"/>
          <w:bCs/>
          <w:sz w:val="28"/>
          <w:szCs w:val="24"/>
        </w:rPr>
        <w:br w:type="page"/>
      </w:r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报 表 目 录</w:t>
      </w:r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36"/>
        </w:rPr>
      </w:pPr>
    </w:p>
    <w:tbl>
      <w:tblPr>
        <w:tblStyle w:val="8"/>
        <w:tblW w:w="839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18"/>
        <w:gridCol w:w="3236"/>
        <w:gridCol w:w="32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表名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指标个数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表1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科普人员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表2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科普场地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表3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科普经费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表4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科普传媒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表5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科普活动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表6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创新创业中的科普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124</w:t>
            </w:r>
          </w:p>
        </w:tc>
      </w:tr>
    </w:tbl>
    <w:p>
      <w:pPr>
        <w:spacing w:line="600" w:lineRule="exact"/>
        <w:ind w:firstLine="560" w:firstLineChars="200"/>
        <w:rPr>
          <w:rFonts w:ascii="仿宋" w:hAnsi="仿宋" w:eastAsia="仿宋" w:cs="宋体"/>
          <w:bCs/>
          <w:sz w:val="28"/>
          <w:szCs w:val="24"/>
        </w:rPr>
      </w:pPr>
    </w:p>
    <w:p>
      <w:pPr>
        <w:pStyle w:val="2"/>
        <w:spacing w:line="360" w:lineRule="auto"/>
        <w:ind w:firstLine="0" w:firstLineChars="0"/>
        <w:jc w:val="center"/>
        <w:rPr>
          <w:rFonts w:ascii="仿宋" w:hAnsi="仿宋" w:eastAsia="仿宋" w:cs="宋体"/>
          <w:b/>
          <w:bCs/>
        </w:rPr>
      </w:pPr>
      <w:bookmarkStart w:id="1" w:name="_Toc533692842"/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bCs/>
          <w:spacing w:val="6"/>
          <w:sz w:val="36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br w:type="page"/>
      </w:r>
      <w:r>
        <w:rPr>
          <w:rFonts w:hint="eastAsia" w:ascii="仿宋_GB2312" w:hAnsi="仿宋" w:eastAsia="仿宋_GB2312" w:cs="Times New Roman"/>
          <w:b/>
          <w:bCs/>
          <w:spacing w:val="6"/>
          <w:sz w:val="36"/>
        </w:rPr>
        <w:t>调 查 表 式</w:t>
      </w:r>
      <w:bookmarkEnd w:id="1"/>
    </w:p>
    <w:p>
      <w:pPr>
        <w:topLinePunct/>
        <w:spacing w:after="0" w:line="300" w:lineRule="auto"/>
        <w:jc w:val="center"/>
        <w:rPr>
          <w:rFonts w:ascii="仿宋_GB2312" w:hAnsi="仿宋" w:eastAsia="仿宋_GB2312" w:cs="Times New Roman"/>
          <w:b/>
          <w:spacing w:val="6"/>
          <w:sz w:val="36"/>
          <w:szCs w:val="36"/>
        </w:rPr>
      </w:pPr>
      <w:bookmarkStart w:id="2" w:name="_Toc533692843"/>
      <w:r>
        <w:rPr>
          <w:rFonts w:hint="eastAsia" w:ascii="仿宋_GB2312" w:hAnsi="仿宋" w:eastAsia="仿宋_GB2312" w:cs="Times New Roman"/>
          <w:b/>
          <w:spacing w:val="6"/>
          <w:sz w:val="36"/>
          <w:szCs w:val="36"/>
        </w:rPr>
        <w:t>（一）调查单位基本情况</w:t>
      </w:r>
      <w:bookmarkEnd w:id="2"/>
    </w:p>
    <w:p>
      <w:pPr>
        <w:topLinePunct/>
        <w:spacing w:after="0" w:line="300" w:lineRule="auto"/>
        <w:jc w:val="center"/>
        <w:rPr>
          <w:rFonts w:ascii="仿宋" w:hAnsi="仿宋" w:eastAsia="仿宋" w:cs="Times New Roman"/>
          <w:b/>
          <w:bCs/>
          <w:spacing w:val="6"/>
          <w:sz w:val="10"/>
        </w:rPr>
      </w:pPr>
    </w:p>
    <w:tbl>
      <w:tblPr>
        <w:tblStyle w:val="8"/>
        <w:tblW w:w="8503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"/>
        <w:gridCol w:w="423"/>
        <w:gridCol w:w="1040"/>
        <w:gridCol w:w="1284"/>
        <w:gridCol w:w="919"/>
        <w:gridCol w:w="401"/>
        <w:gridCol w:w="392"/>
        <w:gridCol w:w="184"/>
        <w:gridCol w:w="439"/>
        <w:gridCol w:w="11"/>
        <w:gridCol w:w="173"/>
        <w:gridCol w:w="256"/>
        <w:gridCol w:w="11"/>
        <w:gridCol w:w="1067"/>
        <w:gridCol w:w="280"/>
        <w:gridCol w:w="1586"/>
        <w:gridCol w:w="29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866" w:type="dxa"/>
            <w:gridSpan w:val="2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KP-000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5522" w:type="dxa"/>
            <w:gridSpan w:val="11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8" w:type="dxa"/>
          <w:wAfter w:w="29" w:type="dxa"/>
          <w:trHeight w:val="170" w:hRule="atLeast"/>
          <w:jc w:val="center"/>
        </w:trPr>
        <w:tc>
          <w:tcPr>
            <w:tcW w:w="3666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  年</w:t>
            </w:r>
          </w:p>
        </w:tc>
        <w:tc>
          <w:tcPr>
            <w:tcW w:w="440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101</w:t>
            </w:r>
          </w:p>
        </w:tc>
        <w:tc>
          <w:tcPr>
            <w:tcW w:w="46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尚未领取统一社会信用代码的填写原组织机构代码号：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□□□□□□□□－□</w:t>
            </w:r>
          </w:p>
        </w:tc>
        <w:tc>
          <w:tcPr>
            <w:tcW w:w="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102</w:t>
            </w:r>
          </w:p>
        </w:tc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单位详细名称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103</w:t>
            </w:r>
          </w:p>
        </w:tc>
        <w:tc>
          <w:tcPr>
            <w:tcW w:w="36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机构主管部门类别代码（见说明）   □   □</w:t>
            </w:r>
          </w:p>
        </w:tc>
        <w:tc>
          <w:tcPr>
            <w:tcW w:w="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104</w:t>
            </w:r>
          </w:p>
        </w:tc>
        <w:tc>
          <w:tcPr>
            <w:tcW w:w="38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所属国民经济行业分类门类代码（见说明） 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105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机构属性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政府部门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事业单位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人民团体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□国家机关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□科研院所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□中央机构编制部门直接管理类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□高等教育机构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□民政部门登记类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□非全民所有制企业</w:t>
            </w: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□其他</w:t>
            </w:r>
          </w:p>
        </w:tc>
        <w:tc>
          <w:tcPr>
            <w:tcW w:w="25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after="0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106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单位级别 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中央级 □    省级 □     市级 □     区县级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107</w:t>
            </w:r>
          </w:p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单位所在地及区划             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     省(自治区、直辖市)              地(区、市、州、盟)               县(区、市、旗)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区划代码    □□□□□□□□□□□□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108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单位经费来源情况：     □ 财政全额拨款    □ 财政差额拨款    □ 自收自支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109</w:t>
            </w:r>
          </w:p>
        </w:tc>
        <w:tc>
          <w:tcPr>
            <w:tcW w:w="807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年末从业人员合计          人     本年收入总额           万元      本年支出总额           万元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110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法定代表人(单位负责人)                  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填表人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4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111</w:t>
            </w:r>
          </w:p>
        </w:tc>
        <w:tc>
          <w:tcPr>
            <w:tcW w:w="40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联系方式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长途区号    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固定电话    □□□□□□□□-□□□□□□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邮政编码    □□□□□□</w:t>
            </w:r>
          </w:p>
        </w:tc>
        <w:tc>
          <w:tcPr>
            <w:tcW w:w="40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移动电话    □□□□□□□□□□□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传真号码    □□□□□□□□-□□□□□□</w:t>
            </w:r>
          </w:p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机构主管部门类别代码：</w:t>
      </w:r>
    </w:p>
    <w:p>
      <w:pPr>
        <w:widowControl w:val="0"/>
        <w:spacing w:after="0"/>
        <w:ind w:left="110" w:leftChars="50" w:right="110" w:rightChars="50" w:firstLine="340" w:firstLineChars="20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pacing w:val="-5"/>
          <w:sz w:val="18"/>
          <w:szCs w:val="18"/>
        </w:rPr>
        <w:t>发展改革部门（25）、教育部门（03）、科技管理部门（01）、工业和信息化部门（含国防科工系统）（19）、民族事务部门（21）、公安部门（20）、民政部门（26）、人力资源社会保障部门（27）、自然资源部门（含林业和草原系统（11））（04）、生态环境部门（09）、住房和城乡建设部门（34）、交通运输部门（含民用航空系统、铁路系统）（33）、水利部门（35）、农业农村部门（05）、文化和旅游部门（06）（旅游部门（12）合并到文化部门（06））、卫生健康部门（07）（计生部门（08）已合并到卫生部门（07））、应急管理部门（含地震系统（14）、煤矿安全监察系统）（22）、中国人民银行（36）、国有资产监督管理部门（32）、市场监督管理部门（含药品监督管理系统（29）、知识产权系统（37））（24）、广电部门（10）、体育部门（28）、中科院所属部门（13）、社科院所属部门（31）、气象部门（15）、粮食和储备系统（23）</w:t>
      </w:r>
      <w:r>
        <w:rPr>
          <w:rFonts w:hint="eastAsia" w:ascii="仿宋" w:hAnsi="仿宋" w:eastAsia="仿宋" w:cs="Times New Roman"/>
          <w:spacing w:val="-5"/>
          <w:sz w:val="18"/>
          <w:szCs w:val="18"/>
        </w:rPr>
        <w:t>、国防科技工业部门（39）、</w:t>
      </w:r>
      <w:r>
        <w:rPr>
          <w:rFonts w:ascii="仿宋" w:hAnsi="仿宋" w:eastAsia="仿宋" w:cs="Times New Roman"/>
          <w:spacing w:val="-5"/>
          <w:sz w:val="18"/>
          <w:szCs w:val="18"/>
        </w:rPr>
        <w:t>共青团组织（16）、工会组织（18）、妇联组织（17）、科协组织（02）、其他部门（30）</w:t>
      </w:r>
    </w:p>
    <w:p>
      <w:pPr>
        <w:widowControl w:val="0"/>
        <w:spacing w:after="0"/>
        <w:ind w:left="110" w:leftChars="50" w:right="110" w:rightChars="50" w:firstLine="360" w:firstLineChars="20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国民经济行业分类门类代码（GB/4754-2017）：A 农、林、牧、渔业；B 采矿业； C 制造业； D 电力、热力、燃气及水生产和供应业； E 建筑业； F 批发和零售业； G 交通运输、仓储和邮政业； H 住宿和餐饮业； I 信息传输、软件和信息技术服务业； J 金融业； K 房地产业； L 租赁和商务服务业； M 科学研究和技术服务业； N 水利、环境和公共设施管理业； O 居民服务、修理和其他服务业； P 教育； Q 卫生和社会工作； R 文化、体育和娱乐业； S 公共管理、社会保障和社会组织； T 国际组织</w:t>
      </w:r>
    </w:p>
    <w:p>
      <w:pPr>
        <w:pStyle w:val="3"/>
        <w:ind w:firstLine="0" w:firstLineChars="0"/>
        <w:jc w:val="center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br w:type="page"/>
      </w:r>
      <w:bookmarkStart w:id="3" w:name="_Toc533692844"/>
    </w:p>
    <w:p>
      <w:pPr>
        <w:pStyle w:val="3"/>
        <w:numPr>
          <w:ilvl w:val="0"/>
          <w:numId w:val="2"/>
        </w:numPr>
        <w:ind w:firstLine="0" w:firstLineChars="0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科普人员</w:t>
      </w:r>
      <w:bookmarkEnd w:id="3"/>
    </w:p>
    <w:tbl>
      <w:tblPr>
        <w:tblStyle w:val="8"/>
        <w:tblW w:w="8503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3724"/>
        <w:gridCol w:w="1250"/>
        <w:gridCol w:w="901"/>
        <w:gridCol w:w="275"/>
        <w:gridCol w:w="742"/>
        <w:gridCol w:w="434"/>
        <w:gridCol w:w="1177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611" w:type="dxa"/>
            <w:gridSpan w:val="2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KP-001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5875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3724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1250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 　年</w:t>
            </w:r>
          </w:p>
        </w:tc>
        <w:tc>
          <w:tcPr>
            <w:tcW w:w="901" w:type="dxa"/>
            <w:tcBorders>
              <w:bottom w:val="single" w:color="auto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61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一、科普专职人员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KR100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管理人员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科普创作人员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二、科普兼职人员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年度实际投入工作量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      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KR250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三、注册科普志愿者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KR300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统计负责人：       填表人：         联系电话：           报出日期：20  年  月  日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主要平衡关系：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KR110≤KR100，KR120≤KR100，KR130≤KR100，KR140≤KR100，KR150≤KR100，KR160≤KR100。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KR110、KR120、KR130、KR140、KR150、KR160均为KR100的子项，只是KR100的一部分，所以数量值均要小于或等于KR100。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KR210≤KR200，KR220≤KR200，KR230≤KR200，KR250≤KR200。</w:t>
      </w:r>
    </w:p>
    <w:p>
      <w:pPr>
        <w:widowControl w:val="0"/>
        <w:spacing w:after="0" w:line="264" w:lineRule="auto"/>
        <w:ind w:left="110" w:leftChars="50" w:right="110" w:rightChars="50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KR210、KR220、KR230、KR250均为KR200的子项，只是KR200的一部分，所以数量值均要小于或等于KR200。</w:t>
      </w:r>
    </w:p>
    <w:p>
      <w:pPr>
        <w:widowControl w:val="0"/>
        <w:spacing w:after="0" w:line="264" w:lineRule="auto"/>
        <w:jc w:val="both"/>
        <w:rPr>
          <w:rFonts w:ascii="仿宋" w:hAnsi="仿宋" w:eastAsia="仿宋"/>
          <w:sz w:val="18"/>
        </w:rPr>
      </w:pPr>
    </w:p>
    <w:p>
      <w:pPr>
        <w:pStyle w:val="3"/>
        <w:ind w:firstLine="0" w:firstLineChars="0"/>
        <w:jc w:val="center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sz w:val="18"/>
        </w:rPr>
        <w:br w:type="page"/>
      </w:r>
      <w:bookmarkStart w:id="4" w:name="_Toc533692845"/>
      <w:r>
        <w:rPr>
          <w:rFonts w:hint="eastAsia" w:ascii="仿宋_GB2312" w:hAnsi="仿宋" w:eastAsia="仿宋_GB2312"/>
          <w:b/>
          <w:sz w:val="36"/>
          <w:szCs w:val="36"/>
        </w:rPr>
        <w:t>（三）科普场地</w:t>
      </w:r>
      <w:bookmarkEnd w:id="4"/>
    </w:p>
    <w:tbl>
      <w:tblPr>
        <w:tblStyle w:val="8"/>
        <w:tblW w:w="8503" w:type="dxa"/>
        <w:jc w:val="center"/>
        <w:tblInd w:w="0" w:type="dxa"/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4379"/>
        <w:gridCol w:w="20"/>
        <w:gridCol w:w="828"/>
        <w:gridCol w:w="540"/>
        <w:gridCol w:w="120"/>
        <w:gridCol w:w="953"/>
        <w:gridCol w:w="295"/>
        <w:gridCol w:w="1368"/>
      </w:tblGrid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表    号：</w:t>
            </w:r>
          </w:p>
        </w:tc>
        <w:tc>
          <w:tcPr>
            <w:tcW w:w="1663" w:type="dxa"/>
            <w:gridSpan w:val="2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KP-002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制定机关：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批准机关：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5887" w:type="dxa"/>
            <w:gridSpan w:val="5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 xml:space="preserve">批准文号： 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79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单位详细名称：</w:t>
            </w:r>
          </w:p>
        </w:tc>
        <w:tc>
          <w:tcPr>
            <w:tcW w:w="84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20 　年</w:t>
            </w:r>
          </w:p>
        </w:tc>
        <w:tc>
          <w:tcPr>
            <w:tcW w:w="660" w:type="dxa"/>
            <w:gridSpan w:val="2"/>
            <w:tcBorders>
              <w:bottom w:val="single" w:color="auto" w:sz="6" w:space="0"/>
            </w:tcBorders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有效期至：</w:t>
            </w:r>
          </w:p>
        </w:tc>
        <w:tc>
          <w:tcPr>
            <w:tcW w:w="166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指标名称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计量单位</w:t>
            </w: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代码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一、科普场馆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科技馆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2. 科学技术类博物馆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3. 青少年科技馆站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二、非场馆类科普基地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个数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2. 科普展厅面积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3. 当年参观人次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三、公共场所科普宣传设施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城市社区科普（技）专用活动室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 农村科普（技）活动场地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3. 科普宣传专用车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4. 科普画廊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KC340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四、科普基地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 xml:space="preserve"> 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1. 国家级科普基地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110" w:leftChars="5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2. 省级科普基地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3" w:hRule="atLeast"/>
          <w:jc w:val="center"/>
        </w:trPr>
        <w:tc>
          <w:tcPr>
            <w:tcW w:w="4399" w:type="dxa"/>
            <w:gridSpan w:val="2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ind w:left="220" w:leftChars="100"/>
              <w:jc w:val="both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KC422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 w:line="180" w:lineRule="auto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</w:tbl>
    <w:p>
      <w:pPr>
        <w:widowControl w:val="0"/>
        <w:spacing w:beforeLines="20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 统计负责人：        填表人：         联系电话：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1. 必须是以上列举的各类科技馆，如果以上列举中没有包括，则不在统计范围。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 </w:t>
      </w:r>
      <w:r>
        <w:rPr>
          <w:rFonts w:ascii="仿宋" w:hAnsi="仿宋" w:eastAsia="仿宋" w:cs="Times New Roman"/>
          <w:sz w:val="18"/>
          <w:szCs w:val="18"/>
        </w:rPr>
        <w:t>2.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对于建筑面积的要求：建筑面积在500平米以下的，出租用于他用（商业经营等）或已丧失科普功能的，都不在此项统计范围内。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 </w:t>
      </w:r>
      <w:r>
        <w:rPr>
          <w:rFonts w:ascii="仿宋" w:hAnsi="仿宋" w:eastAsia="仿宋" w:cs="Times New Roman"/>
          <w:sz w:val="18"/>
          <w:szCs w:val="18"/>
        </w:rPr>
        <w:t>3.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展厅面积（KC112、KC122、KC132）：指用于各类展览的实际使用面积，不含公共设施、办公室和用于其他用途的使用面积。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</w:t>
      </w: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>4. 参观人次（KC113、KC123、KC133）：如果有参观票据，以票根上的年度内数字为准。如果没有参观票据，则以馆内统计的人数为准。馆内没有过任何统计，则填报零。不可随意填报。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</w:t>
      </w: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>5. 青少年科技馆，需专馆专用。如，某学校的青少年活动中心，如果不是用来专门搞科普活动，不在统计范围以内。必须是以青少年科技馆、科技中心命名，并且专门用于开展面对青少年的科普宣传教育，方可计算在内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6. 高等院校、科研机构、高新技术企业向公众开放的实验室和生产场所等不在统计范围内。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7. 免费开放天数，是指该场馆当年累计的免费开放天数。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8. 在场馆数量上，不能出现大于1的情况，因为每个场馆都要单独填报。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 xml:space="preserve">     </w:t>
      </w:r>
      <w:r>
        <w:rPr>
          <w:rFonts w:ascii="仿宋" w:hAnsi="仿宋" w:eastAsia="仿宋" w:cs="Times New Roman"/>
          <w:sz w:val="18"/>
          <w:szCs w:val="18"/>
        </w:rPr>
        <w:t xml:space="preserve"> 9. 场馆常设展品的件数，以完整呈现一个展出物品为一件。</w:t>
      </w:r>
    </w:p>
    <w:p>
      <w:pPr>
        <w:pStyle w:val="3"/>
        <w:ind w:firstLine="0" w:firstLineChars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</w:rPr>
        <w:br w:type="page"/>
      </w:r>
      <w:bookmarkStart w:id="5" w:name="_Toc533692846"/>
      <w:r>
        <w:rPr>
          <w:rFonts w:hint="eastAsia" w:ascii="仿宋_GB2312" w:hAnsi="仿宋" w:eastAsia="仿宋_GB2312"/>
          <w:b/>
          <w:sz w:val="36"/>
          <w:szCs w:val="36"/>
        </w:rPr>
        <w:t>（四）科普经费</w:t>
      </w:r>
      <w:bookmarkEnd w:id="5"/>
    </w:p>
    <w:tbl>
      <w:tblPr>
        <w:tblStyle w:val="8"/>
        <w:tblW w:w="8503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61"/>
        <w:gridCol w:w="2935"/>
        <w:gridCol w:w="982"/>
        <w:gridCol w:w="208"/>
        <w:gridCol w:w="755"/>
        <w:gridCol w:w="435"/>
        <w:gridCol w:w="1192"/>
        <w:gridCol w:w="35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表    号：</w:t>
            </w:r>
          </w:p>
        </w:tc>
        <w:tc>
          <w:tcPr>
            <w:tcW w:w="1662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KP-003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制定机关：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统一社会信用代码□□□□□□□□□□□□□□□□□□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批准机关：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878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尚未领取统一社会信用代码的填写原组织机构代码号□□□□□□□□－□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批准文号： 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961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单位详细名称：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20 　年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有效期至：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指标名称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计量单位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代码</w:t>
            </w:r>
          </w:p>
        </w:tc>
        <w:tc>
          <w:tcPr>
            <w:tcW w:w="11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一、年度科普经费筹集额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KJ100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1.政府拨款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其中：科普专项经费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2.捐赠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3.自筹资金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4.其他收入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KJ140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二、年度科普经费使用额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1.行政支出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2.科普活动支出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3.科普场馆基建支出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其中：政府拨款支出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其中：场馆建设支出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其中：展品、设施支出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4.其他支出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三、科技活动周经费专项统计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—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—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科技活动周经费筹集额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   其中：政府拨款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KJ310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5" w:type="dxa"/>
          <w:trHeight w:val="340" w:hRule="atLeast"/>
          <w:jc w:val="center"/>
        </w:trPr>
        <w:tc>
          <w:tcPr>
            <w:tcW w:w="4896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 xml:space="preserve">           企业赞助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KJ320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ascii="仿宋" w:hAnsi="仿宋" w:eastAsia="仿宋" w:cs="Times New Roman"/>
          <w:sz w:val="18"/>
        </w:rPr>
        <w:t>单位负责人：          统计负责人：         填表人：         联系电话：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hint="eastAsia" w:ascii="仿宋" w:hAnsi="仿宋" w:eastAsia="仿宋" w:cs="Times New Roman"/>
          <w:sz w:val="18"/>
        </w:rPr>
        <w:t>说明：</w:t>
      </w:r>
      <w:r>
        <w:rPr>
          <w:rFonts w:ascii="仿宋" w:hAnsi="仿宋" w:eastAsia="仿宋" w:cs="Times New Roman"/>
          <w:sz w:val="18"/>
        </w:rPr>
        <w:t>1.</w:t>
      </w:r>
      <w:r>
        <w:rPr>
          <w:rFonts w:hint="eastAsia" w:ascii="仿宋" w:hAnsi="仿宋" w:eastAsia="仿宋" w:cs="Times New Roman"/>
          <w:sz w:val="18"/>
        </w:rPr>
        <w:t xml:space="preserve"> </w:t>
      </w:r>
      <w:r>
        <w:rPr>
          <w:rFonts w:ascii="仿宋" w:hAnsi="仿宋" w:eastAsia="仿宋" w:cs="Times New Roman"/>
          <w:sz w:val="18"/>
        </w:rPr>
        <w:t>主要平衡关系：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hint="eastAsia" w:ascii="仿宋" w:hAnsi="仿宋" w:eastAsia="仿宋" w:cs="Times New Roman"/>
          <w:sz w:val="18"/>
        </w:rPr>
        <w:t xml:space="preserve">        </w:t>
      </w:r>
      <w:r>
        <w:rPr>
          <w:rFonts w:ascii="仿宋" w:hAnsi="仿宋" w:eastAsia="仿宋" w:cs="Times New Roman"/>
          <w:sz w:val="18"/>
        </w:rPr>
        <w:t xml:space="preserve"> KJ100＝KJ110＋KJ120＋KJ130＋KJ140；KJ110≥KJ111；KJ200＝KJ210＋KJ220＋KJ230＋KJ240；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hint="eastAsia" w:ascii="仿宋" w:hAnsi="仿宋" w:eastAsia="仿宋" w:cs="Times New Roman"/>
          <w:sz w:val="18"/>
        </w:rPr>
        <w:t xml:space="preserve">        </w:t>
      </w:r>
      <w:r>
        <w:rPr>
          <w:rFonts w:ascii="仿宋" w:hAnsi="仿宋" w:eastAsia="仿宋" w:cs="Times New Roman"/>
          <w:sz w:val="18"/>
        </w:rPr>
        <w:t xml:space="preserve"> KJ230≥KJ231；KJ230≥KJ232；KJ230≥KJ233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</w:rPr>
      </w:pPr>
      <w:r>
        <w:rPr>
          <w:rFonts w:ascii="仿宋" w:hAnsi="仿宋" w:eastAsia="仿宋" w:cs="Times New Roman"/>
          <w:sz w:val="18"/>
        </w:rPr>
        <w:t xml:space="preserve">      2.</w:t>
      </w:r>
      <w:r>
        <w:rPr>
          <w:rFonts w:hint="eastAsia" w:ascii="仿宋" w:hAnsi="仿宋" w:eastAsia="仿宋" w:cs="Times New Roman"/>
          <w:sz w:val="18"/>
        </w:rPr>
        <w:t xml:space="preserve"> </w:t>
      </w:r>
      <w:r>
        <w:rPr>
          <w:rFonts w:ascii="仿宋" w:hAnsi="仿宋" w:eastAsia="仿宋" w:cs="Times New Roman"/>
          <w:sz w:val="18"/>
        </w:rPr>
        <w:t>经费部分，所有单位均为万元，不要误填。</w:t>
      </w:r>
    </w:p>
    <w:p>
      <w:pPr>
        <w:widowControl w:val="0"/>
        <w:spacing w:after="0"/>
        <w:jc w:val="both"/>
        <w:rPr>
          <w:rFonts w:ascii="仿宋" w:hAnsi="仿宋" w:eastAsia="仿宋"/>
          <w:sz w:val="18"/>
        </w:rPr>
      </w:pPr>
    </w:p>
    <w:p>
      <w:pPr>
        <w:pStyle w:val="3"/>
        <w:ind w:firstLine="0" w:firstLineChars="0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" w:hAnsi="仿宋" w:eastAsia="仿宋"/>
        </w:rPr>
        <w:br w:type="page"/>
      </w:r>
      <w:bookmarkStart w:id="6" w:name="_Toc533692847"/>
      <w:r>
        <w:rPr>
          <w:rFonts w:hint="eastAsia" w:ascii="仿宋_GB2312" w:hAnsi="仿宋" w:eastAsia="仿宋_GB2312"/>
          <w:b/>
          <w:sz w:val="36"/>
          <w:szCs w:val="36"/>
        </w:rPr>
        <w:t>（五）科普传媒</w:t>
      </w:r>
      <w:bookmarkEnd w:id="6"/>
    </w:p>
    <w:p>
      <w:pPr>
        <w:pStyle w:val="3"/>
        <w:ind w:firstLine="0" w:firstLineChars="0"/>
        <w:jc w:val="center"/>
        <w:rPr>
          <w:rFonts w:ascii="仿宋" w:hAnsi="仿宋" w:eastAsia="仿宋"/>
          <w:sz w:val="18"/>
        </w:rPr>
      </w:pPr>
    </w:p>
    <w:tbl>
      <w:tblPr>
        <w:tblStyle w:val="8"/>
        <w:tblW w:w="8506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"/>
        <w:gridCol w:w="3874"/>
        <w:gridCol w:w="1082"/>
        <w:gridCol w:w="15"/>
        <w:gridCol w:w="1022"/>
        <w:gridCol w:w="133"/>
        <w:gridCol w:w="791"/>
        <w:gridCol w:w="379"/>
        <w:gridCol w:w="1172"/>
        <w:gridCol w:w="15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KP-004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38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　年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top w:val="single" w:color="auto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一、科普图书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2" w:type="dxa"/>
            <w:tcBorders>
              <w:top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KM110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2.年出版总册数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KM120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二、科普期刊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KM210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2.年出版总册数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KM220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三、科普（技）音像制品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1.出版种数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KM310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2.光盘发行总量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张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KM320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3.录音、录像带发行总量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盒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KM330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四、科技类报纸年发行总份数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KM400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五、电视台播出科普（技）节目时间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KM500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六、电台播出科普（技）节目时间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KM600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七、科普网站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建设数量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网站访问量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发布科普视频数量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KM730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八、发放科普读物和资料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KM800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九、电子科普屏数量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块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KM900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十、科普类微博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创办数量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KM010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KM011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阅读量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KM012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十一、科普类微信公众号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创办数量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KM020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发文量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KM021</w:t>
            </w:r>
          </w:p>
        </w:tc>
        <w:tc>
          <w:tcPr>
            <w:tcW w:w="117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5" w:type="dxa"/>
          <w:cantSplit/>
          <w:trHeight w:val="170" w:hRule="atLeast"/>
          <w:jc w:val="center"/>
        </w:trPr>
        <w:tc>
          <w:tcPr>
            <w:tcW w:w="4979" w:type="dxa"/>
            <w:gridSpan w:val="3"/>
            <w:tcBorders>
              <w:bottom w:val="single" w:color="auto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阅读量</w:t>
            </w:r>
          </w:p>
        </w:tc>
        <w:tc>
          <w:tcPr>
            <w:tcW w:w="117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17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KM022</w:t>
            </w:r>
          </w:p>
        </w:tc>
        <w:tc>
          <w:tcPr>
            <w:tcW w:w="1172" w:type="dxa"/>
            <w:tcBorders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统计负责人：        填表人：        联系电话： 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hint="eastAsia" w:ascii="仿宋" w:hAnsi="仿宋" w:eastAsia="仿宋" w:cs="Times New Roman"/>
          <w:sz w:val="18"/>
          <w:szCs w:val="18"/>
        </w:rPr>
        <w:t>说明：</w:t>
      </w:r>
      <w:r>
        <w:rPr>
          <w:rFonts w:ascii="仿宋" w:hAnsi="仿宋" w:eastAsia="仿宋" w:cs="Times New Roman"/>
          <w:sz w:val="18"/>
          <w:szCs w:val="18"/>
        </w:rPr>
        <w:t>1. 科普传媒是指各填报单位产出的科普作品，而不是填报单位订阅的资料。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     2. 科普图书、期刊等印刷媒体需要有ISBN编号，或者有内部准印证的图书或期刊，也在统计范围内。</w:t>
      </w:r>
    </w:p>
    <w:p>
      <w:pPr>
        <w:widowControl w:val="0"/>
        <w:spacing w:after="0"/>
        <w:jc w:val="center"/>
        <w:rPr>
          <w:rStyle w:val="15"/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" w:hAnsi="仿宋" w:eastAsia="仿宋"/>
          <w:sz w:val="18"/>
          <w:szCs w:val="18"/>
        </w:rPr>
        <w:br w:type="page"/>
      </w:r>
      <w:bookmarkStart w:id="7" w:name="_Toc533692848"/>
      <w:r>
        <w:rPr>
          <w:rStyle w:val="15"/>
          <w:rFonts w:hint="eastAsia" w:ascii="仿宋_GB2312" w:hAnsi="仿宋" w:eastAsia="仿宋_GB2312"/>
          <w:b/>
          <w:sz w:val="36"/>
          <w:szCs w:val="36"/>
        </w:rPr>
        <w:t>（六）科普活动</w:t>
      </w:r>
      <w:bookmarkEnd w:id="7"/>
    </w:p>
    <w:p>
      <w:pPr>
        <w:widowControl w:val="0"/>
        <w:spacing w:after="0"/>
        <w:jc w:val="center"/>
        <w:rPr>
          <w:rStyle w:val="15"/>
          <w:rFonts w:ascii="仿宋" w:hAnsi="仿宋" w:eastAsia="仿宋"/>
          <w:sz w:val="18"/>
          <w:szCs w:val="18"/>
        </w:rPr>
      </w:pPr>
    </w:p>
    <w:tbl>
      <w:tblPr>
        <w:tblStyle w:val="8"/>
        <w:tblW w:w="8506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"/>
        <w:gridCol w:w="3976"/>
        <w:gridCol w:w="750"/>
        <w:gridCol w:w="248"/>
        <w:gridCol w:w="819"/>
        <w:gridCol w:w="923"/>
        <w:gridCol w:w="566"/>
        <w:gridCol w:w="1178"/>
        <w:gridCol w:w="23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767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KP-005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5793" w:type="dxa"/>
            <w:gridSpan w:val="4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3" w:type="dxa"/>
          <w:trHeight w:val="170" w:hRule="atLeast"/>
          <w:jc w:val="center"/>
        </w:trPr>
        <w:tc>
          <w:tcPr>
            <w:tcW w:w="3976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　年</w:t>
            </w:r>
          </w:p>
        </w:tc>
        <w:tc>
          <w:tcPr>
            <w:tcW w:w="819" w:type="dxa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single" w:color="auto" w:sz="6" w:space="0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一、科普（技）讲座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KH110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KH120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二、科普（技）展览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专题展览次数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KH210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KH220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三、科普（技）竞赛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KH310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四、科普国际交流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KH410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KH420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五、青少年科普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1.成立青少年科技兴趣小组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2.科技夏（冬）令营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KH522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六、科技活动周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科普专题活动次数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KH610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KH620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七、大学、科研机构向社会开放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开放单位个数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KH710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KH720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八、举办实用技术培训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KH810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KH820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23" w:type="dxa"/>
          <w:trHeight w:val="170" w:hRule="atLeast"/>
          <w:jc w:val="center"/>
        </w:trPr>
        <w:tc>
          <w:tcPr>
            <w:tcW w:w="4749" w:type="dxa"/>
            <w:gridSpan w:val="3"/>
            <w:tcBorders>
              <w:top w:val="nil"/>
              <w:bottom w:val="single" w:color="auto" w:sz="6" w:space="0"/>
              <w:righ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九、重大科普活动次数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KH900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统计负责人：         填表人：          联系电话：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说明：1.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填报单位组织的科普活动，本单位参加的活动不在统计范围内。</w:t>
      </w:r>
    </w:p>
    <w:p>
      <w:pPr>
        <w:widowControl w:val="0"/>
        <w:spacing w:after="0"/>
        <w:ind w:left="875" w:leftChars="50" w:right="110" w:rightChars="50" w:hanging="765" w:hangingChars="425"/>
        <w:jc w:val="both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 xml:space="preserve">      2.</w:t>
      </w:r>
      <w:r>
        <w:rPr>
          <w:rFonts w:hint="eastAsia" w:ascii="仿宋" w:hAnsi="仿宋" w:eastAsia="仿宋" w:cs="Times New Roman"/>
          <w:sz w:val="18"/>
          <w:szCs w:val="18"/>
        </w:rPr>
        <w:t xml:space="preserve"> </w:t>
      </w:r>
      <w:r>
        <w:rPr>
          <w:rFonts w:ascii="仿宋" w:hAnsi="仿宋" w:eastAsia="仿宋" w:cs="Times New Roman"/>
          <w:sz w:val="18"/>
          <w:szCs w:val="18"/>
        </w:rPr>
        <w:t>多主办单位的活动由第一主办单位填报，如果第一填报单位不在调查统计范围内的可以由第二主办单位填报，以此类推。</w:t>
      </w:r>
    </w:p>
    <w:p>
      <w:pPr>
        <w:pStyle w:val="3"/>
        <w:ind w:firstLine="0" w:firstLineChars="0"/>
        <w:jc w:val="center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" w:hAnsi="仿宋" w:eastAsia="仿宋"/>
        </w:rPr>
        <w:br w:type="page"/>
      </w:r>
      <w:bookmarkStart w:id="8" w:name="_Toc533692849"/>
      <w:r>
        <w:rPr>
          <w:rFonts w:hint="eastAsia" w:ascii="仿宋_GB2312" w:hAnsi="仿宋" w:eastAsia="仿宋_GB2312"/>
          <w:b/>
          <w:sz w:val="36"/>
          <w:szCs w:val="36"/>
        </w:rPr>
        <w:t>（七）创新创业中的科普</w:t>
      </w:r>
      <w:bookmarkEnd w:id="8"/>
    </w:p>
    <w:tbl>
      <w:tblPr>
        <w:tblStyle w:val="8"/>
        <w:tblW w:w="8516" w:type="dxa"/>
        <w:jc w:val="center"/>
        <w:tblInd w:w="0" w:type="dxa"/>
        <w:tblBorders>
          <w:top w:val="none" w:color="auto" w:sz="0" w:space="0"/>
          <w:left w:val="single" w:color="000000" w:sz="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3"/>
        <w:gridCol w:w="4152"/>
        <w:gridCol w:w="788"/>
        <w:gridCol w:w="268"/>
        <w:gridCol w:w="835"/>
        <w:gridCol w:w="223"/>
        <w:gridCol w:w="637"/>
        <w:gridCol w:w="358"/>
        <w:gridCol w:w="1180"/>
        <w:gridCol w:w="42"/>
      </w:tblGrid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表    号：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KP-006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制定机关：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科学技术部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批准机关：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国家统计局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6043" w:type="dxa"/>
            <w:gridSpan w:val="4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批准文号： 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国统制[2018]196号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3" w:type="dxa"/>
          <w:trHeight w:val="312" w:hRule="atLeast"/>
          <w:jc w:val="center"/>
        </w:trPr>
        <w:tc>
          <w:tcPr>
            <w:tcW w:w="4152" w:type="dxa"/>
            <w:tcBorders>
              <w:left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单位详细名称：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 　年</w:t>
            </w:r>
          </w:p>
        </w:tc>
        <w:tc>
          <w:tcPr>
            <w:tcW w:w="835" w:type="dxa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有效期至：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2021年12月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trHeight w:val="312" w:hRule="atLeast"/>
          <w:jc w:val="center"/>
        </w:trPr>
        <w:tc>
          <w:tcPr>
            <w:tcW w:w="49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指标名称</w:t>
            </w:r>
          </w:p>
        </w:tc>
        <w:tc>
          <w:tcPr>
            <w:tcW w:w="13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计量单位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代码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top w:val="single" w:color="000000" w:sz="6" w:space="0"/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一、众创空间</w:t>
            </w:r>
          </w:p>
        </w:tc>
        <w:tc>
          <w:tcPr>
            <w:tcW w:w="1326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80" w:type="dxa"/>
            <w:tcBorders>
              <w:top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KY110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2.办公场所建筑面积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平方米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KY120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3.工作人员数量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KY130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4.创业导师数量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KY140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5.服务创业人员数量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KY150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6.政府扶持经费金额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KY160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7.孵化科技类项目数量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KY170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二、科普类活动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1.创新创业培训次数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KY210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2.创新创业培训参加人数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KY211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3.科技类项目投资路演和宣传推介活动次数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KY220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4.科技类项目投资路演和宣传推介活动参加人数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KY221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5.举办科技类创新创业赛事次数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KY230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6.科技类创新创业赛事参加人数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KY231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三、科普产业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1.科普产品收入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KY310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2.科普出版收入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KY320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3科普影视收入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KY330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4.科普游戏收入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KY340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5.科普旅游收入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KY350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2" w:type="dxa"/>
          <w:cantSplit/>
          <w:trHeight w:val="312" w:hRule="atLeast"/>
          <w:jc w:val="center"/>
        </w:trPr>
        <w:tc>
          <w:tcPr>
            <w:tcW w:w="4973" w:type="dxa"/>
            <w:gridSpan w:val="3"/>
            <w:tcBorders>
              <w:left w:val="nil"/>
              <w:bottom w:val="single" w:color="000000" w:sz="6" w:space="0"/>
            </w:tcBorders>
          </w:tcPr>
          <w:p>
            <w:pPr>
              <w:widowControl w:val="0"/>
              <w:spacing w:after="0"/>
              <w:jc w:val="both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6.其他科普收入</w:t>
            </w:r>
          </w:p>
        </w:tc>
        <w:tc>
          <w:tcPr>
            <w:tcW w:w="1326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万元</w:t>
            </w:r>
          </w:p>
        </w:tc>
        <w:tc>
          <w:tcPr>
            <w:tcW w:w="995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KY360</w:t>
            </w:r>
          </w:p>
        </w:tc>
        <w:tc>
          <w:tcPr>
            <w:tcW w:w="1180" w:type="dxa"/>
            <w:tcBorders>
              <w:bottom w:val="single" w:color="000000" w:sz="6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widowControl w:val="0"/>
        <w:spacing w:beforeLines="25"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单位负责人：          统计负责人：         填表人：        联系电话：          报出日期：20  年  月  日</w:t>
      </w: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</w:p>
    <w:p>
      <w:pPr>
        <w:widowControl w:val="0"/>
        <w:spacing w:after="0"/>
        <w:ind w:left="110" w:leftChars="50" w:right="110" w:rightChars="50"/>
        <w:jc w:val="both"/>
        <w:rPr>
          <w:rFonts w:ascii="仿宋" w:hAnsi="仿宋" w:eastAsia="仿宋" w:cs="Times New Roman"/>
          <w:sz w:val="18"/>
          <w:szCs w:val="18"/>
        </w:rPr>
      </w:pPr>
      <w:r>
        <w:rPr>
          <w:rFonts w:ascii="仿宋" w:hAnsi="仿宋" w:eastAsia="仿宋" w:cs="Times New Roman"/>
          <w:sz w:val="18"/>
          <w:szCs w:val="18"/>
        </w:rPr>
        <w:t>说明： 众创空间指顺应新科技革命和产业变革新趋势、有效满足网络时代大众创新创业需求的新型创业服务平台。</w:t>
      </w:r>
    </w:p>
    <w:p>
      <w:pPr>
        <w:rPr>
          <w:rFonts w:ascii="黑体" w:hAnsi="黑体" w:eastAsia="黑体" w:cs="Times New Roman"/>
          <w:sz w:val="32"/>
        </w:rPr>
      </w:pPr>
      <w:r>
        <w:rPr>
          <w:rFonts w:ascii="仿宋" w:hAnsi="仿宋" w:eastAsia="仿宋" w:cs="Times New Roman"/>
          <w:sz w:val="32"/>
        </w:rPr>
        <w:br w:type="page"/>
      </w:r>
      <w:r>
        <w:rPr>
          <w:rFonts w:hint="eastAsia" w:ascii="黑体" w:hAnsi="黑体" w:eastAsia="黑体" w:cs="Times New Roman"/>
          <w:sz w:val="32"/>
        </w:rPr>
        <w:t>附件3</w:t>
      </w: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仿宋" w:hAnsi="仿宋" w:eastAsia="仿宋" w:cs="Times New Roman"/>
          <w:b/>
          <w:sz w:val="44"/>
          <w:szCs w:val="44"/>
        </w:rPr>
        <w:t>科普统计工作联系人回执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7102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通信地址</w:t>
            </w:r>
          </w:p>
        </w:tc>
        <w:tc>
          <w:tcPr>
            <w:tcW w:w="4260" w:type="dxa"/>
            <w:gridSpan w:val="3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1421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  责 人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   话和手机</w:t>
            </w:r>
          </w:p>
        </w:tc>
        <w:tc>
          <w:tcPr>
            <w:tcW w:w="1421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  络 人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   话和手机</w:t>
            </w:r>
          </w:p>
        </w:tc>
        <w:tc>
          <w:tcPr>
            <w:tcW w:w="1421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ind w:firstLine="4730" w:firstLineChars="2150"/>
        <w:jc w:val="center"/>
        <w:rPr>
          <w:rFonts w:ascii="仿宋" w:hAnsi="仿宋" w:eastAsia="仿宋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26" w:bottom="1098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EE6"/>
    <w:multiLevelType w:val="singleLevel"/>
    <w:tmpl w:val="04880EE6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1639B9DD"/>
    <w:multiLevelType w:val="singleLevel"/>
    <w:tmpl w:val="1639B9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2D2"/>
    <w:rsid w:val="00000923"/>
    <w:rsid w:val="000A3D3B"/>
    <w:rsid w:val="00100A67"/>
    <w:rsid w:val="00164ECD"/>
    <w:rsid w:val="00193D63"/>
    <w:rsid w:val="001C28CA"/>
    <w:rsid w:val="002172DF"/>
    <w:rsid w:val="00255ECE"/>
    <w:rsid w:val="0027430B"/>
    <w:rsid w:val="00287432"/>
    <w:rsid w:val="002F5CAA"/>
    <w:rsid w:val="002F7309"/>
    <w:rsid w:val="00316D84"/>
    <w:rsid w:val="00323B43"/>
    <w:rsid w:val="0033062D"/>
    <w:rsid w:val="003452D2"/>
    <w:rsid w:val="00387E18"/>
    <w:rsid w:val="003D37D8"/>
    <w:rsid w:val="003D5500"/>
    <w:rsid w:val="00431ECB"/>
    <w:rsid w:val="004358AB"/>
    <w:rsid w:val="00480C1D"/>
    <w:rsid w:val="005759AF"/>
    <w:rsid w:val="006032CB"/>
    <w:rsid w:val="0061017B"/>
    <w:rsid w:val="00690FB7"/>
    <w:rsid w:val="006B3660"/>
    <w:rsid w:val="00732B05"/>
    <w:rsid w:val="0074238F"/>
    <w:rsid w:val="00752154"/>
    <w:rsid w:val="00791CAA"/>
    <w:rsid w:val="007D16A5"/>
    <w:rsid w:val="007F1760"/>
    <w:rsid w:val="007F4130"/>
    <w:rsid w:val="00854468"/>
    <w:rsid w:val="008A06C6"/>
    <w:rsid w:val="008A2383"/>
    <w:rsid w:val="008B7726"/>
    <w:rsid w:val="00957C0C"/>
    <w:rsid w:val="009A4EF0"/>
    <w:rsid w:val="00A8073A"/>
    <w:rsid w:val="00A818FC"/>
    <w:rsid w:val="00A8591A"/>
    <w:rsid w:val="00AC41CB"/>
    <w:rsid w:val="00AD548D"/>
    <w:rsid w:val="00B55C84"/>
    <w:rsid w:val="00B846B8"/>
    <w:rsid w:val="00BF43B1"/>
    <w:rsid w:val="00C01BA1"/>
    <w:rsid w:val="00C70EB6"/>
    <w:rsid w:val="00C85084"/>
    <w:rsid w:val="00C8691A"/>
    <w:rsid w:val="00D20B57"/>
    <w:rsid w:val="00D77040"/>
    <w:rsid w:val="00D86403"/>
    <w:rsid w:val="00DB49A5"/>
    <w:rsid w:val="00DB7270"/>
    <w:rsid w:val="00E00F54"/>
    <w:rsid w:val="00E06634"/>
    <w:rsid w:val="00E566EE"/>
    <w:rsid w:val="00E57A33"/>
    <w:rsid w:val="00E644DD"/>
    <w:rsid w:val="00E74E9C"/>
    <w:rsid w:val="00E92CE2"/>
    <w:rsid w:val="00EB5047"/>
    <w:rsid w:val="00F51CAB"/>
    <w:rsid w:val="00FA001A"/>
    <w:rsid w:val="043E7080"/>
    <w:rsid w:val="4D1F4603"/>
    <w:rsid w:val="7D3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 w:val="0"/>
      <w:spacing w:after="0" w:line="353" w:lineRule="auto"/>
      <w:ind w:firstLine="576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</w:rPr>
  </w:style>
  <w:style w:type="paragraph" w:styleId="3">
    <w:name w:val="heading 2"/>
    <w:basedOn w:val="1"/>
    <w:next w:val="1"/>
    <w:link w:val="15"/>
    <w:qFormat/>
    <w:uiPriority w:val="0"/>
    <w:pPr>
      <w:widowControl w:val="0"/>
      <w:spacing w:after="0" w:line="353" w:lineRule="auto"/>
      <w:ind w:firstLine="576" w:firstLineChars="200"/>
      <w:jc w:val="both"/>
      <w:outlineLvl w:val="1"/>
    </w:pPr>
    <w:rPr>
      <w:rFonts w:ascii="Times New Roman" w:hAnsi="Times New Roman" w:eastAsia="楷体_GB2312" w:cs="Times New Roman"/>
      <w:kern w:val="2"/>
      <w:sz w:val="32"/>
      <w:szCs w:val="32"/>
    </w:rPr>
  </w:style>
  <w:style w:type="paragraph" w:styleId="4">
    <w:name w:val="heading 3"/>
    <w:basedOn w:val="1"/>
    <w:next w:val="1"/>
    <w:link w:val="16"/>
    <w:qFormat/>
    <w:uiPriority w:val="0"/>
    <w:pPr>
      <w:widowControl w:val="0"/>
      <w:spacing w:after="0" w:line="353" w:lineRule="auto"/>
      <w:ind w:firstLine="576" w:firstLineChars="200"/>
      <w:jc w:val="both"/>
      <w:outlineLvl w:val="2"/>
    </w:pPr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qFormat/>
    <w:uiPriority w:val="0"/>
    <w:pPr>
      <w:widowControl w:val="0"/>
      <w:tabs>
        <w:tab w:val="center" w:pos="4153"/>
        <w:tab w:val="right" w:pos="8306"/>
      </w:tabs>
      <w:spacing w:after="0" w:line="353" w:lineRule="auto"/>
      <w:ind w:firstLine="576" w:firstLineChars="200"/>
    </w:pPr>
    <w:rPr>
      <w:rFonts w:ascii="Times New Roman" w:hAnsi="Times New Roman" w:eastAsia="仿宋_GB2312" w:cs="Times New Roman"/>
      <w:kern w:val="2"/>
      <w:sz w:val="18"/>
      <w:szCs w:val="32"/>
    </w:rPr>
  </w:style>
  <w:style w:type="paragraph" w:styleId="7">
    <w:name w:val="header"/>
    <w:basedOn w:val="1"/>
    <w:link w:val="17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after="0"/>
      <w:ind w:firstLine="576" w:firstLineChars="200"/>
      <w:jc w:val="both"/>
    </w:pPr>
    <w:rPr>
      <w:rFonts w:ascii="Times New Roman" w:hAnsi="Times New Roman" w:eastAsia="仿宋_GB2312" w:cs="Times New Roman"/>
      <w:kern w:val="2"/>
      <w:sz w:val="18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日期 Char"/>
    <w:basedOn w:val="10"/>
    <w:link w:val="5"/>
    <w:semiHidden/>
    <w:qFormat/>
    <w:uiPriority w:val="99"/>
    <w:rPr>
      <w:rFonts w:ascii="Tahoma" w:hAnsi="Tahoma"/>
    </w:rPr>
  </w:style>
  <w:style w:type="character" w:customStyle="1" w:styleId="14">
    <w:name w:val="标题 1 Char"/>
    <w:basedOn w:val="10"/>
    <w:link w:val="2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character" w:customStyle="1" w:styleId="15">
    <w:name w:val="标题 2 Char"/>
    <w:basedOn w:val="10"/>
    <w:link w:val="3"/>
    <w:qFormat/>
    <w:uiPriority w:val="0"/>
    <w:rPr>
      <w:rFonts w:ascii="Times New Roman" w:hAnsi="Times New Roman" w:eastAsia="楷体_GB2312" w:cs="Times New Roman"/>
      <w:kern w:val="2"/>
      <w:sz w:val="32"/>
      <w:szCs w:val="32"/>
    </w:rPr>
  </w:style>
  <w:style w:type="character" w:customStyle="1" w:styleId="16">
    <w:name w:val="标题 3 Char"/>
    <w:basedOn w:val="10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character" w:customStyle="1" w:styleId="17">
    <w:name w:val="页眉 Char"/>
    <w:basedOn w:val="10"/>
    <w:link w:val="7"/>
    <w:qFormat/>
    <w:uiPriority w:val="0"/>
    <w:rPr>
      <w:rFonts w:ascii="Times New Roman" w:hAnsi="Times New Roman" w:eastAsia="仿宋_GB2312" w:cs="Times New Roman"/>
      <w:kern w:val="2"/>
      <w:sz w:val="18"/>
      <w:szCs w:val="32"/>
    </w:rPr>
  </w:style>
  <w:style w:type="character" w:customStyle="1" w:styleId="18">
    <w:name w:val="页脚 Char"/>
    <w:basedOn w:val="10"/>
    <w:link w:val="6"/>
    <w:qFormat/>
    <w:uiPriority w:val="0"/>
    <w:rPr>
      <w:rFonts w:ascii="Times New Roman" w:hAnsi="Times New Roman" w:eastAsia="仿宋_GB2312" w:cs="Times New Roman"/>
      <w:kern w:val="2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21</Pages>
  <Words>1815</Words>
  <Characters>10346</Characters>
  <Lines>86</Lines>
  <Paragraphs>24</Paragraphs>
  <TotalTime>13</TotalTime>
  <ScaleCrop>false</ScaleCrop>
  <LinksUpToDate>false</LinksUpToDate>
  <CharactersWithSpaces>12137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2019-04-30T06:48:00Z</dcterms:created>
  <dc:creator>good</dc:creator>
  <cp:lastModifiedBy>国平</cp:lastModifiedBy>
  <dcterms:modified xsi:type="dcterms:W3CDTF">2019-05-07T07:35:16Z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